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42C5" w14:textId="77777777" w:rsidR="00F45C80" w:rsidRPr="00260B9A" w:rsidRDefault="00F45C80" w:rsidP="00F45C80">
      <w:pPr>
        <w:pStyle w:val="BodyText"/>
        <w:rPr>
          <w:sz w:val="72"/>
          <w:lang w:val="el-GR"/>
        </w:rPr>
      </w:pPr>
      <w:r>
        <w:rPr>
          <w:noProof/>
        </w:rPr>
        <w:drawing>
          <wp:anchor distT="0" distB="0" distL="0" distR="0" simplePos="0" relativeHeight="251659264" behindDoc="1" locked="0" layoutInCell="1" allowOverlap="1" wp14:anchorId="2AE35F8E" wp14:editId="6FD599B5">
            <wp:simplePos x="0" y="0"/>
            <wp:positionH relativeFrom="page">
              <wp:posOffset>0</wp:posOffset>
            </wp:positionH>
            <wp:positionV relativeFrom="page">
              <wp:posOffset>28575</wp:posOffset>
            </wp:positionV>
            <wp:extent cx="7560146" cy="10619105"/>
            <wp:effectExtent l="0" t="0" r="3175"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146" cy="10619105"/>
                    </a:xfrm>
                    <a:prstGeom prst="rect">
                      <a:avLst/>
                    </a:prstGeom>
                  </pic:spPr>
                </pic:pic>
              </a:graphicData>
            </a:graphic>
            <wp14:sizeRelV relativeFrom="margin">
              <wp14:pctHeight>0</wp14:pctHeight>
            </wp14:sizeRelV>
          </wp:anchor>
        </w:drawing>
      </w:r>
    </w:p>
    <w:p w14:paraId="6B297E31" w14:textId="77777777" w:rsidR="00F45C80" w:rsidRPr="00260B9A" w:rsidRDefault="00F45C80" w:rsidP="00F45C80">
      <w:pPr>
        <w:pStyle w:val="BodyText"/>
        <w:spacing w:before="429"/>
        <w:rPr>
          <w:sz w:val="72"/>
          <w:lang w:val="el-GR"/>
        </w:rPr>
      </w:pPr>
    </w:p>
    <w:p w14:paraId="31DB1CF5" w14:textId="77777777" w:rsidR="00F45C80" w:rsidRPr="00260B9A" w:rsidRDefault="00F45C80" w:rsidP="00F45C80">
      <w:pPr>
        <w:spacing w:line="297" w:lineRule="auto"/>
        <w:ind w:left="3887" w:right="659"/>
        <w:jc w:val="center"/>
        <w:rPr>
          <w:sz w:val="64"/>
          <w:lang w:val="el-GR"/>
        </w:rPr>
      </w:pPr>
      <w:r w:rsidRPr="00260B9A">
        <w:rPr>
          <w:color w:val="F5B335"/>
          <w:w w:val="70"/>
          <w:sz w:val="72"/>
          <w:lang w:val="el-GR"/>
        </w:rPr>
        <w:t xml:space="preserve">ΙΚΑΝΟΤΗΤΑ ΤΟΥ ΠΟΛΙΤΗ </w:t>
      </w:r>
      <w:r w:rsidRPr="00260B9A">
        <w:rPr>
          <w:color w:val="F5B335"/>
          <w:w w:val="75"/>
          <w:sz w:val="72"/>
          <w:lang w:val="el-GR"/>
        </w:rPr>
        <w:t xml:space="preserve">ΤΕΧΝΙΚΕΣ ΔΙΑΓΡΑΜΜΕΣ </w:t>
      </w:r>
      <w:r w:rsidRPr="00260B9A">
        <w:rPr>
          <w:w w:val="70"/>
          <w:sz w:val="64"/>
          <w:lang w:val="el-GR"/>
        </w:rPr>
        <w:t>ΕΓΧΕΙΡΙΔΙΟ ΕΚΠΑΙΔΕΥΤΗ ΕΝΗΛΙΚΩΝ</w:t>
      </w:r>
    </w:p>
    <w:p w14:paraId="3DF29FEC" w14:textId="77777777" w:rsidR="00F45C80" w:rsidRPr="00260B9A" w:rsidRDefault="00F45C80" w:rsidP="00F45C80">
      <w:pPr>
        <w:spacing w:line="297" w:lineRule="auto"/>
        <w:jc w:val="center"/>
        <w:rPr>
          <w:sz w:val="64"/>
          <w:lang w:val="el-GR"/>
        </w:rPr>
        <w:sectPr w:rsidR="00F45C80" w:rsidRPr="00260B9A" w:rsidSect="009855D8">
          <w:pgSz w:w="11910" w:h="16840"/>
          <w:pgMar w:top="1920" w:right="720" w:bottom="280" w:left="860" w:header="720" w:footer="720" w:gutter="0"/>
          <w:cols w:space="720"/>
        </w:sectPr>
      </w:pPr>
    </w:p>
    <w:p w14:paraId="1FEDEE10" w14:textId="77777777" w:rsidR="00F45C80" w:rsidRPr="00452E15" w:rsidRDefault="00F45C80" w:rsidP="00F45C80">
      <w:pPr>
        <w:spacing w:before="61" w:line="276" w:lineRule="auto"/>
        <w:ind w:left="993" w:right="616" w:hanging="867"/>
        <w:jc w:val="center"/>
        <w:rPr>
          <w:rFonts w:asciiTheme="minorHAnsi" w:hAnsiTheme="minorHAnsi" w:cstheme="minorHAnsi"/>
          <w:sz w:val="44"/>
          <w:szCs w:val="44"/>
          <w:lang w:val="el-GR"/>
        </w:rPr>
      </w:pPr>
      <w:r w:rsidRPr="00452E15">
        <w:rPr>
          <w:rFonts w:asciiTheme="minorHAnsi" w:hAnsiTheme="minorHAnsi" w:cstheme="minorHAnsi"/>
          <w:color w:val="F5B335"/>
          <w:w w:val="70"/>
          <w:sz w:val="44"/>
          <w:szCs w:val="44"/>
          <w:lang w:val="el-GR"/>
        </w:rPr>
        <w:lastRenderedPageBreak/>
        <w:t>ΠΗΓΕΣ ΜΙΚΡΟΜΑΘΗΣΗΣ ΓΙΑ ΤΗΝ ΕΠΑΝΕΝΤΑΞΗ ΤΩΝ ΕΝΗΛΙΚΩΝ ΜΑΘΗΤΩΝ ΧΑΜΗΛΩΝ</w:t>
      </w:r>
      <w:r>
        <w:rPr>
          <w:rFonts w:asciiTheme="minorHAnsi" w:hAnsiTheme="minorHAnsi" w:cstheme="minorHAnsi"/>
          <w:color w:val="F5B335"/>
          <w:w w:val="70"/>
          <w:sz w:val="44"/>
          <w:szCs w:val="44"/>
          <w:lang w:val="el-GR"/>
        </w:rPr>
        <w:t xml:space="preserve"> ΕΙΔΙΚΕΥΣΗΣ</w:t>
      </w:r>
      <w:r w:rsidRPr="00452E15">
        <w:rPr>
          <w:rFonts w:asciiTheme="minorHAnsi" w:hAnsiTheme="minorHAnsi" w:cstheme="minorHAnsi"/>
          <w:color w:val="F5B335"/>
          <w:w w:val="70"/>
          <w:sz w:val="44"/>
          <w:szCs w:val="44"/>
          <w:lang w:val="el-GR"/>
        </w:rPr>
        <w:t xml:space="preserve"> ΣΤΗΝ ΕΚΠΑΙΔΕΥΣΗ ΚΑΙ ΤΗΝ ΚΑΤΑΡΤΙΣΗ</w:t>
      </w:r>
    </w:p>
    <w:p w14:paraId="05D2A0AD" w14:textId="77777777" w:rsidR="00F45C80" w:rsidRPr="00452E15" w:rsidRDefault="00F45C80" w:rsidP="00F45C80">
      <w:pPr>
        <w:spacing w:before="2"/>
        <w:ind w:right="-160"/>
        <w:jc w:val="both"/>
        <w:rPr>
          <w:rFonts w:asciiTheme="minorHAnsi" w:hAnsiTheme="minorHAnsi" w:cstheme="minorHAnsi"/>
          <w:b/>
          <w:sz w:val="24"/>
          <w:szCs w:val="24"/>
          <w:lang w:val="el-GR"/>
        </w:rPr>
      </w:pPr>
      <w:r w:rsidRPr="00452E15">
        <w:rPr>
          <w:rFonts w:asciiTheme="minorHAnsi" w:hAnsiTheme="minorHAnsi" w:cstheme="minorHAnsi"/>
          <w:b/>
          <w:color w:val="1F2025"/>
          <w:spacing w:val="-2"/>
          <w:sz w:val="24"/>
          <w:szCs w:val="24"/>
          <w:lang w:val="el-GR"/>
        </w:rPr>
        <w:t xml:space="preserve">Εγχειρίδιο </w:t>
      </w:r>
      <w:r w:rsidRPr="00452E15">
        <w:rPr>
          <w:rFonts w:asciiTheme="minorHAnsi" w:hAnsiTheme="minorHAnsi" w:cstheme="minorHAnsi"/>
          <w:b/>
          <w:color w:val="1F2025"/>
          <w:sz w:val="24"/>
          <w:szCs w:val="24"/>
          <w:lang w:val="el-GR"/>
        </w:rPr>
        <w:t>Εκπαιδευτή Ενηλίκων</w:t>
      </w:r>
    </w:p>
    <w:p w14:paraId="7C6ABD8C" w14:textId="77777777" w:rsidR="00F45C80" w:rsidRPr="00452E15" w:rsidRDefault="00F45C80" w:rsidP="00F45C80">
      <w:pPr>
        <w:pStyle w:val="BodyText"/>
        <w:spacing w:before="7"/>
        <w:ind w:right="-160"/>
        <w:jc w:val="both"/>
        <w:rPr>
          <w:rFonts w:asciiTheme="minorHAnsi" w:hAnsiTheme="minorHAnsi" w:cstheme="minorHAnsi"/>
          <w:lang w:val="el-GR"/>
        </w:rPr>
      </w:pPr>
      <w:r w:rsidRPr="00452E15">
        <w:rPr>
          <w:rFonts w:asciiTheme="minorHAnsi" w:hAnsiTheme="minorHAnsi" w:cstheme="minorHAnsi"/>
          <w:spacing w:val="-4"/>
          <w:lang w:val="el-GR"/>
        </w:rPr>
        <w:t xml:space="preserve">Σχέδιο </w:t>
      </w:r>
      <w:r w:rsidRPr="00452E15">
        <w:rPr>
          <w:rFonts w:asciiTheme="minorHAnsi" w:hAnsiTheme="minorHAnsi" w:cstheme="minorHAnsi"/>
          <w:w w:val="90"/>
          <w:lang w:val="el-GR"/>
        </w:rPr>
        <w:t>μαθήματος</w:t>
      </w:r>
    </w:p>
    <w:p w14:paraId="25F6A69C" w14:textId="77777777" w:rsidR="00F45C80" w:rsidRPr="00452E15" w:rsidRDefault="00F45C80" w:rsidP="00F45C80">
      <w:pPr>
        <w:pStyle w:val="BodyText"/>
        <w:spacing w:before="171" w:line="348" w:lineRule="auto"/>
        <w:ind w:right="-160"/>
        <w:jc w:val="both"/>
        <w:rPr>
          <w:rFonts w:asciiTheme="minorHAnsi" w:hAnsiTheme="minorHAnsi" w:cstheme="minorHAnsi"/>
          <w:lang w:val="el-GR"/>
        </w:rPr>
      </w:pPr>
      <w:r w:rsidRPr="00452E15">
        <w:rPr>
          <w:rFonts w:asciiTheme="minorHAnsi" w:hAnsiTheme="minorHAnsi" w:cstheme="minorHAnsi"/>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452E15">
        <w:rPr>
          <w:rFonts w:asciiTheme="minorHAnsi" w:hAnsiTheme="minorHAnsi" w:cstheme="minorHAnsi"/>
          <w:lang w:val="el-GR"/>
        </w:rPr>
        <w:t>μικρομάθησης</w:t>
      </w:r>
      <w:proofErr w:type="spellEnd"/>
      <w:r w:rsidRPr="00452E15">
        <w:rPr>
          <w:rFonts w:asciiTheme="minorHAnsi" w:hAnsiTheme="minorHAnsi" w:cstheme="minorHAnsi"/>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απολογισμού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που ολοκληρώσατε μαζί τους.</w:t>
      </w:r>
    </w:p>
    <w:p w14:paraId="0262872B" w14:textId="77777777" w:rsidR="00F45C80" w:rsidRPr="00452E15" w:rsidRDefault="00F45C80" w:rsidP="00F45C80">
      <w:pPr>
        <w:pStyle w:val="BodyText"/>
        <w:spacing w:before="147"/>
        <w:ind w:right="-160"/>
        <w:jc w:val="both"/>
        <w:rPr>
          <w:rFonts w:asciiTheme="minorHAnsi" w:hAnsiTheme="minorHAnsi" w:cstheme="minorHAnsi"/>
          <w:lang w:val="el-GR"/>
        </w:rPr>
      </w:pPr>
      <w:r w:rsidRPr="00452E15">
        <w:rPr>
          <w:rFonts w:asciiTheme="minorHAnsi" w:hAnsiTheme="minorHAnsi" w:cstheme="minorHAnsi"/>
          <w:spacing w:val="-2"/>
          <w:lang w:val="el-GR"/>
        </w:rPr>
        <w:t>Το θέμα αυτού του εγχειριδίου αφορά τους πόρους βίντεο:</w:t>
      </w:r>
    </w:p>
    <w:p w14:paraId="18E81D98" w14:textId="77777777" w:rsidR="00F45C80" w:rsidRPr="00452E15" w:rsidRDefault="00F45C80" w:rsidP="00F45C80">
      <w:pPr>
        <w:rPr>
          <w:rFonts w:asciiTheme="minorHAnsi" w:hAnsiTheme="minorHAnsi" w:cstheme="minorHAnsi"/>
          <w:w w:val="105"/>
          <w:sz w:val="24"/>
          <w:szCs w:val="24"/>
          <w:lang w:val="el-GR"/>
        </w:rPr>
      </w:pPr>
    </w:p>
    <w:p w14:paraId="1BC400B4" w14:textId="77777777" w:rsidR="00F45C80" w:rsidRPr="00452E15" w:rsidRDefault="00F45C80" w:rsidP="00F45C80">
      <w:pPr>
        <w:rPr>
          <w:rFonts w:asciiTheme="minorHAnsi" w:hAnsiTheme="minorHAnsi" w:cstheme="minorHAnsi"/>
          <w:b/>
          <w:bCs/>
          <w:sz w:val="24"/>
          <w:szCs w:val="24"/>
          <w:lang w:val="el-GR"/>
        </w:rPr>
      </w:pPr>
      <w:r w:rsidRPr="00452E15">
        <w:rPr>
          <w:rFonts w:asciiTheme="minorHAnsi" w:hAnsiTheme="minorHAnsi" w:cstheme="minorHAnsi"/>
          <w:b/>
          <w:bCs/>
          <w:w w:val="105"/>
          <w:sz w:val="24"/>
          <w:szCs w:val="24"/>
          <w:lang w:val="el-GR"/>
        </w:rPr>
        <w:t xml:space="preserve">Ικανότητα του πολίτη - Καλλιτεχνικοί </w:t>
      </w:r>
      <w:r w:rsidRPr="00452E15">
        <w:rPr>
          <w:rFonts w:asciiTheme="minorHAnsi" w:hAnsiTheme="minorHAnsi" w:cstheme="minorHAnsi"/>
          <w:b/>
          <w:bCs/>
          <w:spacing w:val="-2"/>
          <w:w w:val="105"/>
          <w:sz w:val="24"/>
          <w:szCs w:val="24"/>
          <w:lang w:val="el-GR"/>
        </w:rPr>
        <w:t>κλάδοι</w:t>
      </w:r>
    </w:p>
    <w:p w14:paraId="495BB183" w14:textId="77777777" w:rsidR="00F45C80" w:rsidRPr="00452E15" w:rsidRDefault="00F45C80" w:rsidP="00F45C80">
      <w:pPr>
        <w:rPr>
          <w:rFonts w:asciiTheme="minorHAnsi" w:hAnsiTheme="minorHAnsi" w:cstheme="minorHAnsi"/>
          <w:b/>
          <w:sz w:val="24"/>
          <w:szCs w:val="24"/>
          <w:lang w:val="el-GR"/>
        </w:rPr>
      </w:pPr>
    </w:p>
    <w:p w14:paraId="5DB5CA4D" w14:textId="77777777" w:rsidR="00F45C80" w:rsidRPr="00452E15" w:rsidRDefault="00F45C80" w:rsidP="00F45C80">
      <w:pPr>
        <w:pStyle w:val="BodyText"/>
        <w:ind w:left="580"/>
        <w:jc w:val="both"/>
        <w:rPr>
          <w:rFonts w:asciiTheme="minorHAnsi" w:hAnsiTheme="minorHAnsi" w:cstheme="minorHAnsi"/>
          <w:b/>
          <w:bCs/>
          <w:lang w:val="el-GR"/>
        </w:rPr>
      </w:pPr>
      <w:r w:rsidRPr="00452E15">
        <w:rPr>
          <w:rFonts w:asciiTheme="minorHAnsi" w:hAnsiTheme="minorHAnsi" w:cstheme="minorHAnsi"/>
          <w:b/>
          <w:bCs/>
          <w:color w:val="FFC000"/>
          <w:lang w:val="el-GR"/>
        </w:rPr>
        <w:t xml:space="preserve">Εισαγωγή στο </w:t>
      </w:r>
      <w:r w:rsidRPr="00452E15">
        <w:rPr>
          <w:rFonts w:asciiTheme="minorHAnsi" w:hAnsiTheme="minorHAnsi" w:cstheme="minorHAnsi"/>
          <w:b/>
          <w:bCs/>
          <w:color w:val="FFC000"/>
          <w:spacing w:val="-4"/>
          <w:lang w:val="el-GR"/>
        </w:rPr>
        <w:t>θέμα</w:t>
      </w:r>
    </w:p>
    <w:p w14:paraId="221ED267" w14:textId="77777777" w:rsidR="00F45C80" w:rsidRPr="00452E15" w:rsidRDefault="00F45C80" w:rsidP="00F45C80">
      <w:pPr>
        <w:pStyle w:val="BodyText"/>
        <w:ind w:left="580"/>
        <w:jc w:val="both"/>
        <w:rPr>
          <w:rFonts w:asciiTheme="minorHAnsi" w:hAnsiTheme="minorHAnsi" w:cstheme="minorHAnsi"/>
          <w:lang w:val="el-GR"/>
        </w:rPr>
      </w:pPr>
    </w:p>
    <w:p w14:paraId="137A7883" w14:textId="77777777" w:rsidR="00F45C80" w:rsidRPr="00452E15" w:rsidRDefault="00F45C80" w:rsidP="00F45C80">
      <w:pPr>
        <w:pStyle w:val="BodyText"/>
        <w:spacing w:before="1" w:line="348" w:lineRule="auto"/>
        <w:ind w:right="-160"/>
        <w:jc w:val="both"/>
        <w:rPr>
          <w:rFonts w:asciiTheme="minorHAnsi" w:hAnsiTheme="minorHAnsi" w:cstheme="minorHAnsi"/>
          <w:lang w:val="el-GR"/>
        </w:rPr>
      </w:pPr>
      <w:r w:rsidRPr="00452E15">
        <w:rPr>
          <w:rFonts w:asciiTheme="minorHAnsi" w:hAnsiTheme="minorHAnsi" w:cstheme="minorHAnsi"/>
          <w:lang w:val="el-GR"/>
        </w:rPr>
        <w:t xml:space="preserve">Η πλοήγηση στο περίπλοκο τοπίο των ικανοτήτων του πολίτη μέσα από τον φακό της τέχνης </w:t>
      </w:r>
      <w:r w:rsidRPr="00452E15">
        <w:rPr>
          <w:rFonts w:asciiTheme="minorHAnsi" w:hAnsiTheme="minorHAnsi" w:cstheme="minorHAnsi"/>
          <w:spacing w:val="-2"/>
          <w:lang w:val="el-GR"/>
        </w:rPr>
        <w:t xml:space="preserve">προσφέρει μια μοναδική και μετασχηματιστική οδό για τα άτομα, ιδίως για τα άτομα με χαμηλότερα </w:t>
      </w:r>
      <w:r w:rsidRPr="00452E15">
        <w:rPr>
          <w:rFonts w:asciiTheme="minorHAnsi" w:hAnsiTheme="minorHAnsi" w:cstheme="minorHAnsi"/>
          <w:lang w:val="el-GR"/>
        </w:rPr>
        <w:t xml:space="preserve">επίπεδα δεξιοτήτων, ώστε να συμμετέχουν ουσιαστικά στις κοινότητές τους και στην κοινωνία γενικότερα. Η συγχώνευση της τέχνης και της ικανότητας του πολίτη όχι μόνο δίνει τη δυνατότητα στα άτομα να αναπτύξουν μια </w:t>
      </w:r>
      <w:r w:rsidRPr="00452E15">
        <w:rPr>
          <w:rFonts w:asciiTheme="minorHAnsi" w:hAnsiTheme="minorHAnsi" w:cstheme="minorHAnsi"/>
          <w:spacing w:val="-4"/>
          <w:lang w:val="el-GR"/>
        </w:rPr>
        <w:t xml:space="preserve">βαθύτερη κατανόηση των δικαιωμάτων και των ευθυνών τους ως πολίτες, αλλά ανοίγει επίσης πόρτες </w:t>
      </w:r>
      <w:r w:rsidRPr="00452E15">
        <w:rPr>
          <w:rFonts w:asciiTheme="minorHAnsi" w:hAnsiTheme="minorHAnsi" w:cstheme="minorHAnsi"/>
          <w:spacing w:val="-2"/>
          <w:lang w:val="el-GR"/>
        </w:rPr>
        <w:t xml:space="preserve">στη δημιουργική έκφραση, την προσωπική ανάπτυξη και την ενεργό συμμετοχή. Για τους ενήλικες με χαμηλά προσόντα, η προσέγγιση αυτή γίνεται γέφυρα προς μια πιο περιεκτική και ικανοποιητική εμπειρία του πολίτη, </w:t>
      </w:r>
      <w:r w:rsidRPr="00452E15">
        <w:rPr>
          <w:rFonts w:asciiTheme="minorHAnsi" w:hAnsiTheme="minorHAnsi" w:cstheme="minorHAnsi"/>
          <w:lang w:val="el-GR"/>
        </w:rPr>
        <w:t>επιτρέποντάς τους να συνεισφέρουν, να μαθαίνουν και να ευημερούν με τρόπους που ανταποκρίνονται στα ενδιαφέροντα και τις δυνατότητές τους.</w:t>
      </w:r>
    </w:p>
    <w:p w14:paraId="5C6DEAD1" w14:textId="77777777" w:rsidR="00F45C80" w:rsidRPr="00452E15" w:rsidRDefault="00F45C80" w:rsidP="00F45C80">
      <w:pPr>
        <w:spacing w:line="348" w:lineRule="auto"/>
        <w:jc w:val="both"/>
        <w:rPr>
          <w:rFonts w:asciiTheme="minorHAnsi" w:hAnsiTheme="minorHAnsi" w:cstheme="minorHAnsi"/>
          <w:sz w:val="24"/>
          <w:szCs w:val="24"/>
          <w:lang w:val="el-GR"/>
        </w:rPr>
        <w:sectPr w:rsidR="00F45C80" w:rsidRPr="00452E15" w:rsidSect="009855D8">
          <w:pgSz w:w="11910" w:h="16840"/>
          <w:pgMar w:top="1360" w:right="720" w:bottom="280" w:left="860" w:header="720" w:footer="720" w:gutter="0"/>
          <w:cols w:space="720"/>
        </w:sectPr>
      </w:pPr>
    </w:p>
    <w:p w14:paraId="7FD63AB9" w14:textId="77777777" w:rsidR="00F45C80" w:rsidRPr="00452E15" w:rsidRDefault="00F45C80" w:rsidP="00F45C80">
      <w:pPr>
        <w:pStyle w:val="BodyText"/>
        <w:spacing w:before="60"/>
        <w:ind w:left="-567" w:right="-613"/>
        <w:rPr>
          <w:rFonts w:asciiTheme="minorHAnsi" w:hAnsiTheme="minorHAnsi" w:cstheme="minorHAnsi"/>
          <w:b/>
          <w:bCs/>
          <w:lang w:val="el-GR"/>
        </w:rPr>
      </w:pPr>
      <w:r w:rsidRPr="00452E15">
        <w:rPr>
          <w:rFonts w:asciiTheme="minorHAnsi" w:hAnsiTheme="minorHAnsi" w:cstheme="minorHAnsi"/>
          <w:b/>
          <w:bCs/>
          <w:color w:val="FFC000"/>
          <w:lang w:val="el-GR"/>
        </w:rPr>
        <w:lastRenderedPageBreak/>
        <w:t xml:space="preserve">Εισαγωγή στη </w:t>
      </w:r>
      <w:r w:rsidRPr="00452E15">
        <w:rPr>
          <w:rFonts w:asciiTheme="minorHAnsi" w:hAnsiTheme="minorHAnsi" w:cstheme="minorHAnsi"/>
          <w:b/>
          <w:bCs/>
          <w:color w:val="FFC000"/>
          <w:spacing w:val="-2"/>
          <w:lang w:val="el-GR"/>
        </w:rPr>
        <w:t>δραστηριότητα</w:t>
      </w:r>
    </w:p>
    <w:p w14:paraId="5897D380" w14:textId="77777777" w:rsidR="00F45C80" w:rsidRPr="00452E15" w:rsidRDefault="00F45C80" w:rsidP="00F45C80">
      <w:pPr>
        <w:pStyle w:val="BodyText"/>
        <w:spacing w:before="185"/>
        <w:ind w:left="-567" w:right="-613"/>
        <w:rPr>
          <w:rFonts w:asciiTheme="minorHAnsi" w:hAnsiTheme="minorHAnsi" w:cstheme="minorHAnsi"/>
          <w:lang w:val="el-GR"/>
        </w:rPr>
      </w:pPr>
    </w:p>
    <w:p w14:paraId="5399BEEC" w14:textId="77777777" w:rsidR="00F45C80" w:rsidRPr="00452E15" w:rsidRDefault="00F45C80" w:rsidP="00F45C80">
      <w:pPr>
        <w:pStyle w:val="BodyText"/>
        <w:spacing w:line="345" w:lineRule="auto"/>
        <w:ind w:left="-567" w:right="-613"/>
        <w:jc w:val="both"/>
        <w:rPr>
          <w:rFonts w:asciiTheme="minorHAnsi" w:hAnsiTheme="minorHAnsi" w:cstheme="minorHAnsi"/>
          <w:lang w:val="el-GR"/>
        </w:rPr>
      </w:pPr>
      <w:r w:rsidRPr="00452E15">
        <w:rPr>
          <w:rFonts w:asciiTheme="minorHAnsi" w:hAnsiTheme="minorHAnsi" w:cstheme="minorHAnsi"/>
          <w:lang w:val="el-GR"/>
        </w:rPr>
        <w:t>Η μελέτη περίπτωσης περιγράφει ένα άτομο που δεν ενδιαφέρεται για την τέχνη σε καθημερινή βάση. Είναι πεπεισμένη ότι στον τομέα της τέχνης δεν μπορούν να βρεθούν θέματα πολιτικής επάρκειας.</w:t>
      </w:r>
    </w:p>
    <w:p w14:paraId="4C3E5361" w14:textId="77777777" w:rsidR="00F45C80" w:rsidRPr="00452E15" w:rsidRDefault="00F45C80" w:rsidP="00F45C80">
      <w:pPr>
        <w:pStyle w:val="BodyText"/>
        <w:spacing w:before="163" w:line="348" w:lineRule="auto"/>
        <w:ind w:left="-567" w:right="-613"/>
        <w:jc w:val="both"/>
        <w:rPr>
          <w:rFonts w:asciiTheme="minorHAnsi" w:hAnsiTheme="minorHAnsi" w:cstheme="minorHAnsi"/>
          <w:lang w:val="el-GR"/>
        </w:rPr>
      </w:pPr>
      <w:r w:rsidRPr="00452E15">
        <w:rPr>
          <w:rFonts w:asciiTheme="minorHAnsi" w:hAnsiTheme="minorHAnsi" w:cstheme="minorHAnsi"/>
          <w:lang w:val="el-GR"/>
        </w:rPr>
        <w:t>Εμείς ξέρουμε το αντίθετο και θέλουμε να της το δείξουμε. Το καθήκον του μαθητή είναι να απαριθμήσει διάφορους κλάδους της τέχνης (π.χ. μουσική, χορός) και να γράψει παραδείγματα θεμάτων που σχετίζονται με την πολιτική επάρκεια στις τέχνες. Αυτό θα βοηθήσει τους ενήλικες να κατανοήσουν τη σημασία του τομέα τόσο της τέχνης όσο και της πολιτικής επάρκειας και πώς οι τομείς αυτοί διασταυρώνονται.</w:t>
      </w:r>
    </w:p>
    <w:p w14:paraId="0E117C72" w14:textId="77777777" w:rsidR="00F45C80" w:rsidRPr="00452E15" w:rsidRDefault="00F45C80" w:rsidP="00F45C80">
      <w:pPr>
        <w:pStyle w:val="BodyText"/>
        <w:ind w:left="-567" w:right="-613"/>
        <w:rPr>
          <w:rFonts w:asciiTheme="minorHAnsi" w:hAnsiTheme="minorHAnsi" w:cstheme="minorHAnsi"/>
          <w:lang w:val="el-GR"/>
        </w:rPr>
      </w:pPr>
    </w:p>
    <w:p w14:paraId="4FDFCA79" w14:textId="77777777" w:rsidR="00F45C80" w:rsidRPr="00452E15" w:rsidRDefault="00F45C80" w:rsidP="00F45C80">
      <w:pPr>
        <w:pStyle w:val="BodyText"/>
        <w:spacing w:before="51"/>
        <w:ind w:left="-567" w:right="-613"/>
        <w:rPr>
          <w:rFonts w:asciiTheme="minorHAnsi" w:hAnsiTheme="minorHAnsi" w:cstheme="minorHAnsi"/>
          <w:lang w:val="el-GR"/>
        </w:rPr>
      </w:pPr>
    </w:p>
    <w:p w14:paraId="5767727A" w14:textId="77777777" w:rsidR="00F45C80" w:rsidRPr="00452E15" w:rsidRDefault="00F45C80" w:rsidP="00F45C80">
      <w:pPr>
        <w:pStyle w:val="BodyText"/>
        <w:ind w:left="-567" w:right="-613"/>
        <w:rPr>
          <w:rFonts w:asciiTheme="minorHAnsi" w:hAnsiTheme="minorHAnsi" w:cstheme="minorHAnsi"/>
          <w:lang w:val="el-GR"/>
        </w:rPr>
      </w:pPr>
      <w:r w:rsidRPr="00452E15">
        <w:rPr>
          <w:rFonts w:asciiTheme="minorHAnsi" w:hAnsiTheme="minorHAnsi" w:cstheme="minorHAnsi"/>
          <w:color w:val="FFC000"/>
          <w:spacing w:val="-4"/>
          <w:lang w:val="el-GR"/>
        </w:rPr>
        <w:t>Χρήση αυτού του πόρου με μια ομάδα</w:t>
      </w:r>
    </w:p>
    <w:p w14:paraId="369F8917" w14:textId="77777777" w:rsidR="00F45C80" w:rsidRPr="00452E15" w:rsidRDefault="00F45C80" w:rsidP="00F45C80">
      <w:pPr>
        <w:pStyle w:val="BodyText"/>
        <w:spacing w:before="185"/>
        <w:ind w:left="-567" w:right="-613"/>
        <w:rPr>
          <w:rFonts w:asciiTheme="minorHAnsi" w:hAnsiTheme="minorHAnsi" w:cstheme="minorHAnsi"/>
          <w:lang w:val="el-GR"/>
        </w:rPr>
      </w:pPr>
    </w:p>
    <w:p w14:paraId="215AF7DF" w14:textId="77777777" w:rsidR="00F45C80" w:rsidRPr="00452E15" w:rsidRDefault="00F45C80" w:rsidP="00F45C80">
      <w:pPr>
        <w:pStyle w:val="BodyText"/>
        <w:spacing w:line="345" w:lineRule="auto"/>
        <w:ind w:left="-567" w:right="-613"/>
        <w:jc w:val="both"/>
        <w:rPr>
          <w:rFonts w:asciiTheme="minorHAnsi" w:hAnsiTheme="minorHAnsi" w:cstheme="minorHAnsi"/>
          <w:lang w:val="el-GR"/>
        </w:rPr>
      </w:pPr>
      <w:r w:rsidRPr="00452E15">
        <w:rPr>
          <w:rFonts w:asciiTheme="minorHAnsi" w:hAnsiTheme="minorHAnsi" w:cstheme="minorHAnsi"/>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βίντεο πόρο για να εισαγάγετε το θέμα της Ικανότητας του πολίτη - Καλλιτεχνικοί κλάδοι. 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w:t>
      </w:r>
      <w:r w:rsidRPr="00452E15">
        <w:rPr>
          <w:rFonts w:asciiTheme="minorHAnsi" w:hAnsiTheme="minorHAnsi" w:cstheme="minorHAnsi"/>
          <w:spacing w:val="-2"/>
          <w:lang w:val="el-GR"/>
        </w:rPr>
        <w:t xml:space="preserve">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είναι </w:t>
      </w:r>
      <w:r w:rsidRPr="00452E15">
        <w:rPr>
          <w:rFonts w:asciiTheme="minorHAnsi" w:hAnsiTheme="minorHAnsi" w:cstheme="minorHAnsi"/>
          <w:lang w:val="el-GR"/>
        </w:rPr>
        <w:t>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w:t>
      </w:r>
    </w:p>
    <w:p w14:paraId="39E3E88C" w14:textId="77777777" w:rsidR="00F45C80" w:rsidRPr="00452E15" w:rsidRDefault="00F45C80" w:rsidP="00F45C80">
      <w:pPr>
        <w:pStyle w:val="BodyText"/>
        <w:ind w:left="-567" w:right="-613"/>
        <w:rPr>
          <w:rFonts w:asciiTheme="minorHAnsi" w:hAnsiTheme="minorHAnsi" w:cstheme="minorHAnsi"/>
          <w:lang w:val="el-GR"/>
        </w:rPr>
      </w:pPr>
    </w:p>
    <w:p w14:paraId="775D2816" w14:textId="77777777" w:rsidR="00F45C80" w:rsidRPr="00452E15" w:rsidRDefault="00F45C80" w:rsidP="00F45C80">
      <w:pPr>
        <w:pStyle w:val="BodyText"/>
        <w:spacing w:before="176"/>
        <w:ind w:left="-567" w:right="-613"/>
        <w:rPr>
          <w:rFonts w:asciiTheme="minorHAnsi" w:hAnsiTheme="minorHAnsi" w:cstheme="minorHAnsi"/>
          <w:lang w:val="el-GR"/>
        </w:rPr>
      </w:pPr>
    </w:p>
    <w:p w14:paraId="4BD7BD0B" w14:textId="77777777" w:rsidR="00F45C80" w:rsidRPr="001C089D" w:rsidRDefault="00F45C80" w:rsidP="00F45C80">
      <w:pPr>
        <w:pStyle w:val="BodyText"/>
        <w:spacing w:before="1"/>
        <w:ind w:left="-567" w:right="-613"/>
        <w:rPr>
          <w:rFonts w:asciiTheme="minorHAnsi" w:hAnsiTheme="minorHAnsi" w:cstheme="minorHAnsi"/>
          <w:b/>
          <w:bCs/>
        </w:rPr>
      </w:pPr>
      <w:proofErr w:type="spellStart"/>
      <w:r w:rsidRPr="001C089D">
        <w:rPr>
          <w:rFonts w:asciiTheme="minorHAnsi" w:hAnsiTheme="minorHAnsi" w:cstheme="minorHAnsi"/>
          <w:b/>
          <w:bCs/>
          <w:color w:val="FFC000"/>
          <w:spacing w:val="-2"/>
        </w:rPr>
        <w:t>Ερωτήσεις</w:t>
      </w:r>
      <w:proofErr w:type="spellEnd"/>
      <w:r w:rsidRPr="001C089D">
        <w:rPr>
          <w:rFonts w:asciiTheme="minorHAnsi" w:hAnsiTheme="minorHAnsi" w:cstheme="minorHAnsi"/>
          <w:b/>
          <w:bCs/>
          <w:color w:val="FFC000"/>
          <w:spacing w:val="-2"/>
        </w:rPr>
        <w:t xml:space="preserve"> </w:t>
      </w:r>
      <w:proofErr w:type="spellStart"/>
      <w:r w:rsidRPr="001C089D">
        <w:rPr>
          <w:rFonts w:asciiTheme="minorHAnsi" w:hAnsiTheme="minorHAnsi" w:cstheme="minorHAnsi"/>
          <w:b/>
          <w:bCs/>
          <w:color w:val="FFC000"/>
          <w:spacing w:val="-2"/>
        </w:rPr>
        <w:t>γι</w:t>
      </w:r>
      <w:proofErr w:type="spellEnd"/>
      <w:r w:rsidRPr="001C089D">
        <w:rPr>
          <w:rFonts w:asciiTheme="minorHAnsi" w:hAnsiTheme="minorHAnsi" w:cstheme="minorHAnsi"/>
          <w:b/>
          <w:bCs/>
          <w:color w:val="FFC000"/>
          <w:spacing w:val="-2"/>
        </w:rPr>
        <w:t xml:space="preserve">α </w:t>
      </w:r>
      <w:proofErr w:type="spellStart"/>
      <w:r w:rsidRPr="001C089D">
        <w:rPr>
          <w:rFonts w:asciiTheme="minorHAnsi" w:hAnsiTheme="minorHAnsi" w:cstheme="minorHAnsi"/>
          <w:b/>
          <w:bCs/>
          <w:color w:val="FFC000"/>
          <w:spacing w:val="-4"/>
        </w:rPr>
        <w:t>την</w:t>
      </w:r>
      <w:proofErr w:type="spellEnd"/>
      <w:r w:rsidRPr="001C089D">
        <w:rPr>
          <w:rFonts w:asciiTheme="minorHAnsi" w:hAnsiTheme="minorHAnsi" w:cstheme="minorHAnsi"/>
          <w:b/>
          <w:bCs/>
          <w:color w:val="FFC000"/>
          <w:spacing w:val="-4"/>
        </w:rPr>
        <w:t xml:space="preserve"> </w:t>
      </w:r>
      <w:proofErr w:type="spellStart"/>
      <w:r w:rsidRPr="001C089D">
        <w:rPr>
          <w:rFonts w:asciiTheme="minorHAnsi" w:hAnsiTheme="minorHAnsi" w:cstheme="minorHAnsi"/>
          <w:b/>
          <w:bCs/>
          <w:color w:val="FFC000"/>
          <w:spacing w:val="-4"/>
        </w:rPr>
        <w:t>ενημέρωση</w:t>
      </w:r>
      <w:proofErr w:type="spellEnd"/>
    </w:p>
    <w:p w14:paraId="2E7C1BF3" w14:textId="77777777" w:rsidR="00F45C80" w:rsidRPr="00452E15" w:rsidRDefault="00F45C80" w:rsidP="00F45C80">
      <w:pPr>
        <w:pStyle w:val="BodyText"/>
        <w:ind w:left="-567" w:right="-613"/>
        <w:rPr>
          <w:rFonts w:asciiTheme="minorHAnsi" w:hAnsiTheme="minorHAnsi" w:cstheme="minorHAnsi"/>
        </w:rPr>
      </w:pPr>
    </w:p>
    <w:p w14:paraId="6A4901A8" w14:textId="77777777" w:rsidR="00F45C80" w:rsidRPr="00452E15" w:rsidRDefault="00F45C80" w:rsidP="00F45C80">
      <w:pPr>
        <w:pStyle w:val="ListParagraph"/>
        <w:widowControl w:val="0"/>
        <w:numPr>
          <w:ilvl w:val="0"/>
          <w:numId w:val="2"/>
        </w:numPr>
        <w:tabs>
          <w:tab w:val="left" w:pos="940"/>
        </w:tabs>
        <w:autoSpaceDE w:val="0"/>
        <w:autoSpaceDN w:val="0"/>
        <w:spacing w:after="0" w:line="240" w:lineRule="auto"/>
        <w:ind w:left="-567" w:right="-613"/>
        <w:contextualSpacing w:val="0"/>
        <w:rPr>
          <w:rFonts w:asciiTheme="minorHAnsi" w:hAnsiTheme="minorHAnsi" w:cstheme="minorHAnsi"/>
          <w:sz w:val="24"/>
          <w:szCs w:val="24"/>
          <w:lang w:val="el-GR"/>
        </w:rPr>
      </w:pPr>
      <w:r w:rsidRPr="00452E15">
        <w:rPr>
          <w:rFonts w:asciiTheme="minorHAnsi" w:hAnsiTheme="minorHAnsi" w:cstheme="minorHAnsi"/>
          <w:sz w:val="24"/>
          <w:szCs w:val="24"/>
          <w:lang w:val="el-GR"/>
        </w:rPr>
        <w:t>Τι καταλαβαίνετε από τον όρο "</w:t>
      </w:r>
      <w:r w:rsidRPr="00452E15">
        <w:rPr>
          <w:rFonts w:asciiTheme="minorHAnsi" w:hAnsiTheme="minorHAnsi" w:cstheme="minorHAnsi"/>
          <w:spacing w:val="-2"/>
          <w:sz w:val="24"/>
          <w:szCs w:val="24"/>
          <w:lang w:val="el-GR"/>
        </w:rPr>
        <w:t xml:space="preserve">ικανότητα </w:t>
      </w:r>
      <w:r w:rsidRPr="00452E15">
        <w:rPr>
          <w:rFonts w:asciiTheme="minorHAnsi" w:hAnsiTheme="minorHAnsi" w:cstheme="minorHAnsi"/>
          <w:sz w:val="24"/>
          <w:szCs w:val="24"/>
          <w:lang w:val="el-GR"/>
        </w:rPr>
        <w:t>του πολίτη";</w:t>
      </w:r>
    </w:p>
    <w:p w14:paraId="0DD175B5" w14:textId="77777777" w:rsidR="00F45C80" w:rsidRPr="00452E15" w:rsidRDefault="00F45C80" w:rsidP="00F45C80">
      <w:pPr>
        <w:pStyle w:val="ListParagraph"/>
        <w:widowControl w:val="0"/>
        <w:numPr>
          <w:ilvl w:val="0"/>
          <w:numId w:val="2"/>
        </w:numPr>
        <w:tabs>
          <w:tab w:val="left" w:pos="940"/>
        </w:tabs>
        <w:autoSpaceDE w:val="0"/>
        <w:autoSpaceDN w:val="0"/>
        <w:spacing w:before="143" w:after="0" w:line="240" w:lineRule="auto"/>
        <w:ind w:left="-567" w:right="-613"/>
        <w:contextualSpacing w:val="0"/>
        <w:rPr>
          <w:rFonts w:asciiTheme="minorHAnsi" w:hAnsiTheme="minorHAnsi" w:cstheme="minorHAnsi"/>
          <w:sz w:val="24"/>
          <w:szCs w:val="24"/>
          <w:lang w:val="el-GR"/>
        </w:rPr>
      </w:pPr>
      <w:r w:rsidRPr="00452E15">
        <w:rPr>
          <w:rFonts w:asciiTheme="minorHAnsi" w:hAnsiTheme="minorHAnsi" w:cstheme="minorHAnsi"/>
          <w:sz w:val="24"/>
          <w:szCs w:val="24"/>
          <w:lang w:val="el-GR"/>
        </w:rPr>
        <w:t xml:space="preserve">Ποια είναι η αγαπημένη σας </w:t>
      </w:r>
      <w:r w:rsidRPr="00452E15">
        <w:rPr>
          <w:rFonts w:asciiTheme="minorHAnsi" w:hAnsiTheme="minorHAnsi" w:cstheme="minorHAnsi"/>
          <w:spacing w:val="-4"/>
          <w:sz w:val="24"/>
          <w:szCs w:val="24"/>
          <w:lang w:val="el-GR"/>
        </w:rPr>
        <w:t xml:space="preserve">μορφή </w:t>
      </w:r>
      <w:r w:rsidRPr="00452E15">
        <w:rPr>
          <w:rFonts w:asciiTheme="minorHAnsi" w:hAnsiTheme="minorHAnsi" w:cstheme="minorHAnsi"/>
          <w:sz w:val="24"/>
          <w:szCs w:val="24"/>
          <w:lang w:val="el-GR"/>
        </w:rPr>
        <w:t>τέχνης</w:t>
      </w:r>
      <w:r w:rsidRPr="00452E15">
        <w:rPr>
          <w:rFonts w:asciiTheme="minorHAnsi" w:hAnsiTheme="minorHAnsi" w:cstheme="minorHAnsi"/>
          <w:spacing w:val="-4"/>
          <w:sz w:val="24"/>
          <w:szCs w:val="24"/>
          <w:lang w:val="el-GR"/>
        </w:rPr>
        <w:t>;</w:t>
      </w:r>
    </w:p>
    <w:p w14:paraId="379D54E8" w14:textId="77777777" w:rsidR="00F45C80" w:rsidRPr="00452E15" w:rsidRDefault="00F45C80" w:rsidP="00F45C80">
      <w:pPr>
        <w:pStyle w:val="ListParagraph"/>
        <w:widowControl w:val="0"/>
        <w:numPr>
          <w:ilvl w:val="0"/>
          <w:numId w:val="2"/>
        </w:numPr>
        <w:tabs>
          <w:tab w:val="left" w:pos="940"/>
        </w:tabs>
        <w:autoSpaceDE w:val="0"/>
        <w:autoSpaceDN w:val="0"/>
        <w:spacing w:before="143" w:after="0" w:line="240" w:lineRule="auto"/>
        <w:ind w:left="-567" w:right="-613"/>
        <w:contextualSpacing w:val="0"/>
        <w:rPr>
          <w:rFonts w:asciiTheme="minorHAnsi" w:hAnsiTheme="minorHAnsi" w:cstheme="minorHAnsi"/>
          <w:sz w:val="24"/>
          <w:szCs w:val="24"/>
          <w:lang w:val="el-GR"/>
        </w:rPr>
      </w:pPr>
      <w:r w:rsidRPr="00452E15">
        <w:rPr>
          <w:rFonts w:asciiTheme="minorHAnsi" w:hAnsiTheme="minorHAnsi" w:cstheme="minorHAnsi"/>
          <w:spacing w:val="-2"/>
          <w:sz w:val="24"/>
          <w:szCs w:val="24"/>
          <w:lang w:val="el-GR"/>
        </w:rPr>
        <w:t>Αναρωτηθήκατε ποτέ τι σχέση έχει η τέχνη με την ικανότητα του πολίτη;</w:t>
      </w:r>
    </w:p>
    <w:p w14:paraId="29CF0BF1" w14:textId="77777777" w:rsidR="00F45C80" w:rsidRPr="00452E15" w:rsidRDefault="00F45C80" w:rsidP="00F45C80">
      <w:pPr>
        <w:pStyle w:val="ListParagraph"/>
        <w:widowControl w:val="0"/>
        <w:numPr>
          <w:ilvl w:val="0"/>
          <w:numId w:val="2"/>
        </w:numPr>
        <w:tabs>
          <w:tab w:val="left" w:pos="940"/>
        </w:tabs>
        <w:autoSpaceDE w:val="0"/>
        <w:autoSpaceDN w:val="0"/>
        <w:spacing w:before="141" w:after="0" w:line="240" w:lineRule="auto"/>
        <w:ind w:left="-567" w:right="-613"/>
        <w:contextualSpacing w:val="0"/>
        <w:rPr>
          <w:rFonts w:asciiTheme="minorHAnsi" w:hAnsiTheme="minorHAnsi" w:cstheme="minorHAnsi"/>
          <w:sz w:val="24"/>
          <w:szCs w:val="24"/>
        </w:rPr>
      </w:pPr>
      <w:r w:rsidRPr="00452E15">
        <w:rPr>
          <w:rFonts w:asciiTheme="minorHAnsi" w:hAnsiTheme="minorHAnsi" w:cstheme="minorHAnsi"/>
          <w:spacing w:val="-6"/>
          <w:sz w:val="24"/>
          <w:szCs w:val="24"/>
        </w:rPr>
        <w:t xml:space="preserve">Σας </w:t>
      </w:r>
      <w:proofErr w:type="spellStart"/>
      <w:r w:rsidRPr="00452E15">
        <w:rPr>
          <w:rFonts w:asciiTheme="minorHAnsi" w:hAnsiTheme="minorHAnsi" w:cstheme="minorHAnsi"/>
          <w:spacing w:val="-4"/>
          <w:sz w:val="24"/>
          <w:szCs w:val="24"/>
        </w:rPr>
        <w:t>ενδι</w:t>
      </w:r>
      <w:proofErr w:type="spellEnd"/>
      <w:r w:rsidRPr="00452E15">
        <w:rPr>
          <w:rFonts w:asciiTheme="minorHAnsi" w:hAnsiTheme="minorHAnsi" w:cstheme="minorHAnsi"/>
          <w:spacing w:val="-4"/>
          <w:sz w:val="24"/>
          <w:szCs w:val="24"/>
        </w:rPr>
        <w:t xml:space="preserve">αφέρει η </w:t>
      </w:r>
      <w:proofErr w:type="spellStart"/>
      <w:r w:rsidRPr="00452E15">
        <w:rPr>
          <w:rFonts w:asciiTheme="minorHAnsi" w:hAnsiTheme="minorHAnsi" w:cstheme="minorHAnsi"/>
          <w:spacing w:val="-4"/>
          <w:sz w:val="24"/>
          <w:szCs w:val="24"/>
        </w:rPr>
        <w:t>εργ</w:t>
      </w:r>
      <w:proofErr w:type="spellEnd"/>
      <w:r w:rsidRPr="00452E15">
        <w:rPr>
          <w:rFonts w:asciiTheme="minorHAnsi" w:hAnsiTheme="minorHAnsi" w:cstheme="minorHAnsi"/>
          <w:spacing w:val="-4"/>
          <w:sz w:val="24"/>
          <w:szCs w:val="24"/>
        </w:rPr>
        <w:t>ασία;</w:t>
      </w:r>
    </w:p>
    <w:p w14:paraId="2C1EE158" w14:textId="7A1B2808" w:rsidR="00D05D1F" w:rsidRPr="00F45C80" w:rsidRDefault="00F45C80" w:rsidP="00F45C80">
      <w:pPr>
        <w:pStyle w:val="BodyText"/>
        <w:rPr>
          <w:sz w:val="20"/>
        </w:rPr>
      </w:pPr>
      <w:r>
        <w:rPr>
          <w:noProof/>
          <w:sz w:val="20"/>
        </w:rPr>
        <w:lastRenderedPageBreak/>
        <w:drawing>
          <wp:inline distT="0" distB="0" distL="0" distR="0" wp14:anchorId="7076ADC3" wp14:editId="13F4F92B">
            <wp:extent cx="6529070" cy="8803640"/>
            <wp:effectExtent l="0" t="0" r="5080" b="0"/>
            <wp:docPr id="1400462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r w:rsidR="00000000" w:rsidRPr="00F45C80">
        <w:t xml:space="preserve"> </w:t>
      </w:r>
    </w:p>
    <w:sectPr w:rsidR="00D05D1F" w:rsidRPr="00F45C80">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1233" w14:textId="77777777" w:rsidR="009855D8" w:rsidRDefault="009855D8">
      <w:pPr>
        <w:spacing w:after="0" w:line="240" w:lineRule="auto"/>
      </w:pPr>
      <w:r>
        <w:separator/>
      </w:r>
    </w:p>
  </w:endnote>
  <w:endnote w:type="continuationSeparator" w:id="0">
    <w:p w14:paraId="4EE1BC1B" w14:textId="77777777" w:rsidR="009855D8" w:rsidRDefault="0098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203" w14:textId="77777777" w:rsidR="00D05D1F" w:rsidRDefault="00D05D1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80C5" w14:textId="77777777" w:rsidR="009855D8" w:rsidRDefault="009855D8">
      <w:pPr>
        <w:spacing w:after="0" w:line="240" w:lineRule="auto"/>
      </w:pPr>
      <w:r>
        <w:separator/>
      </w:r>
    </w:p>
  </w:footnote>
  <w:footnote w:type="continuationSeparator" w:id="0">
    <w:p w14:paraId="3777AFF1" w14:textId="77777777" w:rsidR="009855D8" w:rsidRDefault="0098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4AEC" w14:textId="77777777" w:rsidR="00D05D1F" w:rsidRDefault="00D05D1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3031"/>
    <w:multiLevelType w:val="multilevel"/>
    <w:tmpl w:val="04AC7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EE8116F"/>
    <w:multiLevelType w:val="hybridMultilevel"/>
    <w:tmpl w:val="0184A354"/>
    <w:lvl w:ilvl="0" w:tplc="52ECBF58">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68CE36E">
      <w:numFmt w:val="bullet"/>
      <w:lvlText w:val="•"/>
      <w:lvlJc w:val="left"/>
      <w:pPr>
        <w:ind w:left="1878" w:hanging="360"/>
      </w:pPr>
      <w:rPr>
        <w:rFonts w:hint="default"/>
        <w:lang w:val="en-US" w:eastAsia="en-US" w:bidi="ar-SA"/>
      </w:rPr>
    </w:lvl>
    <w:lvl w:ilvl="2" w:tplc="AE4C1BDE">
      <w:numFmt w:val="bullet"/>
      <w:lvlText w:val="•"/>
      <w:lvlJc w:val="left"/>
      <w:pPr>
        <w:ind w:left="2817" w:hanging="360"/>
      </w:pPr>
      <w:rPr>
        <w:rFonts w:hint="default"/>
        <w:lang w:val="en-US" w:eastAsia="en-US" w:bidi="ar-SA"/>
      </w:rPr>
    </w:lvl>
    <w:lvl w:ilvl="3" w:tplc="688632DE">
      <w:numFmt w:val="bullet"/>
      <w:lvlText w:val="•"/>
      <w:lvlJc w:val="left"/>
      <w:pPr>
        <w:ind w:left="3755" w:hanging="360"/>
      </w:pPr>
      <w:rPr>
        <w:rFonts w:hint="default"/>
        <w:lang w:val="en-US" w:eastAsia="en-US" w:bidi="ar-SA"/>
      </w:rPr>
    </w:lvl>
    <w:lvl w:ilvl="4" w:tplc="BD54F3F8">
      <w:numFmt w:val="bullet"/>
      <w:lvlText w:val="•"/>
      <w:lvlJc w:val="left"/>
      <w:pPr>
        <w:ind w:left="4694" w:hanging="360"/>
      </w:pPr>
      <w:rPr>
        <w:rFonts w:hint="default"/>
        <w:lang w:val="en-US" w:eastAsia="en-US" w:bidi="ar-SA"/>
      </w:rPr>
    </w:lvl>
    <w:lvl w:ilvl="5" w:tplc="26DE5984">
      <w:numFmt w:val="bullet"/>
      <w:lvlText w:val="•"/>
      <w:lvlJc w:val="left"/>
      <w:pPr>
        <w:ind w:left="5633" w:hanging="360"/>
      </w:pPr>
      <w:rPr>
        <w:rFonts w:hint="default"/>
        <w:lang w:val="en-US" w:eastAsia="en-US" w:bidi="ar-SA"/>
      </w:rPr>
    </w:lvl>
    <w:lvl w:ilvl="6" w:tplc="84983EFE">
      <w:numFmt w:val="bullet"/>
      <w:lvlText w:val="•"/>
      <w:lvlJc w:val="left"/>
      <w:pPr>
        <w:ind w:left="6571" w:hanging="360"/>
      </w:pPr>
      <w:rPr>
        <w:rFonts w:hint="default"/>
        <w:lang w:val="en-US" w:eastAsia="en-US" w:bidi="ar-SA"/>
      </w:rPr>
    </w:lvl>
    <w:lvl w:ilvl="7" w:tplc="EF38CC12">
      <w:numFmt w:val="bullet"/>
      <w:lvlText w:val="•"/>
      <w:lvlJc w:val="left"/>
      <w:pPr>
        <w:ind w:left="7510" w:hanging="360"/>
      </w:pPr>
      <w:rPr>
        <w:rFonts w:hint="default"/>
        <w:lang w:val="en-US" w:eastAsia="en-US" w:bidi="ar-SA"/>
      </w:rPr>
    </w:lvl>
    <w:lvl w:ilvl="8" w:tplc="7194B676">
      <w:numFmt w:val="bullet"/>
      <w:lvlText w:val="•"/>
      <w:lvlJc w:val="left"/>
      <w:pPr>
        <w:ind w:left="8449" w:hanging="360"/>
      </w:pPr>
      <w:rPr>
        <w:rFonts w:hint="default"/>
        <w:lang w:val="en-US" w:eastAsia="en-US" w:bidi="ar-SA"/>
      </w:rPr>
    </w:lvl>
  </w:abstractNum>
  <w:num w:numId="1" w16cid:durableId="328212732">
    <w:abstractNumId w:val="0"/>
  </w:num>
  <w:num w:numId="2" w16cid:durableId="45298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1F"/>
    <w:rsid w:val="009855D8"/>
    <w:rsid w:val="00D05D1F"/>
    <w:rsid w:val="00F45C80"/>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E4EB"/>
  <w15:docId w15:val="{9C04BAE9-C9D6-4EEC-9E3A-6A2E21BB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F45C80"/>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F45C80"/>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1gbfgjzZlyDKCSZcwYRbksVcQ==">CgMxLjA4AHIhMXI0OWZqdTM4NWFqSlQ1VjFhMjdueTlHVXZZbGNfN2ZR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3439</Characters>
  <Application>Microsoft Office Word</Application>
  <DocSecurity>0</DocSecurity>
  <Lines>28</Lines>
  <Paragraphs>8</Paragraphs>
  <ScaleCrop>false</ScaleCrop>
  <Company>HP Inc.</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2023-08-07T13:59:00Z</dcterms:created>
  <dcterms:modified xsi:type="dcterms:W3CDTF">2024-03-04T14:48:00Z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