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789D8" w14:textId="77777777" w:rsidR="00941D48" w:rsidRPr="00081229" w:rsidRDefault="00941D48" w:rsidP="00941D48">
      <w:pPr>
        <w:spacing w:before="41"/>
        <w:ind w:left="580"/>
        <w:rPr>
          <w:sz w:val="56"/>
          <w:lang w:val="el-GR"/>
        </w:rPr>
      </w:pPr>
      <w:r>
        <w:rPr>
          <w:color w:val="FF9900"/>
          <w:w w:val="65"/>
          <w:sz w:val="56"/>
          <w:lang w:val="el-GR"/>
        </w:rPr>
        <w:t>ΔΕ</w:t>
      </w:r>
      <w:r w:rsidRPr="00081229">
        <w:rPr>
          <w:color w:val="FF9900"/>
          <w:w w:val="65"/>
          <w:sz w:val="56"/>
          <w:lang w:val="el-GR"/>
        </w:rPr>
        <w:t xml:space="preserve">2 - </w:t>
      </w:r>
      <w:r w:rsidRPr="00081229">
        <w:rPr>
          <w:color w:val="FF9900"/>
          <w:spacing w:val="-2"/>
          <w:w w:val="65"/>
          <w:sz w:val="56"/>
          <w:lang w:val="el-GR"/>
        </w:rPr>
        <w:t xml:space="preserve">ΕΓΧΕΙΡΙΔΙΟ </w:t>
      </w:r>
      <w:r w:rsidRPr="00081229">
        <w:rPr>
          <w:color w:val="FF9900"/>
          <w:w w:val="65"/>
          <w:sz w:val="56"/>
          <w:lang w:val="el-GR"/>
        </w:rPr>
        <w:t>ΕΚΠΑΙΔΕΥΤΩΝ ΕΝΗΛΙΚΩΝ</w:t>
      </w:r>
    </w:p>
    <w:p w14:paraId="348FE6C1" w14:textId="77777777" w:rsidR="00941D48" w:rsidRPr="008C5C4A" w:rsidRDefault="00941D48" w:rsidP="00941D48">
      <w:pPr>
        <w:spacing w:before="230" w:after="49"/>
        <w:ind w:left="580"/>
        <w:rPr>
          <w:b/>
          <w:bCs/>
          <w:sz w:val="28"/>
          <w:szCs w:val="28"/>
          <w:lang w:val="el-GR"/>
        </w:rPr>
      </w:pPr>
      <w:r w:rsidRPr="008C5C4A">
        <w:rPr>
          <w:b/>
          <w:bCs/>
          <w:sz w:val="28"/>
          <w:szCs w:val="28"/>
          <w:lang w:val="el-GR"/>
        </w:rPr>
        <w:t>Σενάριο βίντεο</w:t>
      </w:r>
    </w:p>
    <w:tbl>
      <w:tblPr>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0"/>
        <w:gridCol w:w="4508"/>
      </w:tblGrid>
      <w:tr w:rsidR="00941D48" w:rsidRPr="008C5C4A" w14:paraId="7645991C" w14:textId="77777777" w:rsidTr="00BC4C5D">
        <w:trPr>
          <w:trHeight w:val="350"/>
        </w:trPr>
        <w:tc>
          <w:tcPr>
            <w:tcW w:w="4510" w:type="dxa"/>
          </w:tcPr>
          <w:p w14:paraId="0F94584D" w14:textId="77777777" w:rsidR="00941D48" w:rsidRPr="008C5C4A" w:rsidRDefault="00941D48" w:rsidP="00BC4C5D">
            <w:pPr>
              <w:pStyle w:val="TableParagraph"/>
              <w:spacing w:before="15" w:line="314" w:lineRule="exact"/>
              <w:ind w:left="1170"/>
              <w:rPr>
                <w:b/>
                <w:bCs/>
                <w:sz w:val="28"/>
                <w:szCs w:val="28"/>
                <w:lang w:val="el-GR"/>
              </w:rPr>
            </w:pPr>
            <w:r>
              <w:rPr>
                <w:b/>
                <w:bCs/>
                <w:sz w:val="28"/>
                <w:szCs w:val="28"/>
                <w:lang w:val="el-GR"/>
              </w:rPr>
              <w:t>Τμήμα</w:t>
            </w:r>
            <w:r w:rsidRPr="008C5C4A">
              <w:rPr>
                <w:b/>
                <w:bCs/>
                <w:sz w:val="28"/>
                <w:szCs w:val="28"/>
                <w:lang w:val="el-GR"/>
              </w:rPr>
              <w:t xml:space="preserve"> αρμοδιοτήτων</w:t>
            </w:r>
          </w:p>
        </w:tc>
        <w:tc>
          <w:tcPr>
            <w:tcW w:w="4508" w:type="dxa"/>
          </w:tcPr>
          <w:p w14:paraId="490C41D0" w14:textId="77777777" w:rsidR="00941D48" w:rsidRPr="008C5C4A" w:rsidRDefault="00941D48" w:rsidP="00BC4C5D">
            <w:pPr>
              <w:pStyle w:val="TableParagraph"/>
              <w:spacing w:before="15" w:line="314" w:lineRule="exact"/>
              <w:ind w:left="5" w:right="1"/>
              <w:jc w:val="center"/>
              <w:rPr>
                <w:b/>
                <w:bCs/>
                <w:sz w:val="28"/>
                <w:szCs w:val="28"/>
                <w:lang w:val="el-GR"/>
              </w:rPr>
            </w:pPr>
            <w:r w:rsidRPr="008C5C4A">
              <w:rPr>
                <w:b/>
                <w:bCs/>
                <w:sz w:val="28"/>
                <w:szCs w:val="28"/>
                <w:lang w:val="el-GR"/>
              </w:rPr>
              <w:t>Εγκάρσιο θέμα</w:t>
            </w:r>
          </w:p>
        </w:tc>
      </w:tr>
      <w:tr w:rsidR="00941D48" w:rsidRPr="008C5C4A" w14:paraId="225DC636" w14:textId="77777777" w:rsidTr="00BC4C5D">
        <w:trPr>
          <w:trHeight w:val="662"/>
        </w:trPr>
        <w:tc>
          <w:tcPr>
            <w:tcW w:w="4510" w:type="dxa"/>
          </w:tcPr>
          <w:p w14:paraId="670FAB20" w14:textId="77777777" w:rsidR="00941D48" w:rsidRPr="008C5C4A" w:rsidRDefault="00941D48" w:rsidP="00BC4C5D">
            <w:pPr>
              <w:pStyle w:val="TableParagraph"/>
              <w:spacing w:before="22" w:line="310" w:lineRule="exact"/>
              <w:ind w:left="102" w:right="302" w:firstLine="33"/>
              <w:jc w:val="center"/>
              <w:rPr>
                <w:b/>
                <w:bCs/>
                <w:sz w:val="28"/>
                <w:szCs w:val="28"/>
                <w:lang w:val="el-GR"/>
              </w:rPr>
            </w:pPr>
            <w:r w:rsidRPr="008C5C4A">
              <w:rPr>
                <w:b/>
                <w:bCs/>
                <w:sz w:val="28"/>
                <w:szCs w:val="28"/>
                <w:lang w:val="el-GR"/>
              </w:rPr>
              <w:t>Πολιτισμική ευαισθητοποίηση και ικανότητα έκφρασης</w:t>
            </w:r>
          </w:p>
        </w:tc>
        <w:tc>
          <w:tcPr>
            <w:tcW w:w="4508" w:type="dxa"/>
          </w:tcPr>
          <w:p w14:paraId="5F24D073" w14:textId="77777777" w:rsidR="00941D48" w:rsidRPr="008C5C4A" w:rsidRDefault="00941D48" w:rsidP="00BC4C5D">
            <w:pPr>
              <w:pStyle w:val="TableParagraph"/>
              <w:spacing w:before="18"/>
              <w:ind w:left="5"/>
              <w:jc w:val="center"/>
              <w:rPr>
                <w:b/>
                <w:bCs/>
                <w:sz w:val="28"/>
                <w:szCs w:val="28"/>
                <w:lang w:val="el-GR"/>
              </w:rPr>
            </w:pPr>
            <w:r w:rsidRPr="008C5C4A">
              <w:rPr>
                <w:b/>
                <w:bCs/>
                <w:sz w:val="28"/>
                <w:szCs w:val="28"/>
                <w:lang w:val="el-GR"/>
              </w:rPr>
              <w:t>Αθλητισμός και χόμπι</w:t>
            </w:r>
          </w:p>
        </w:tc>
      </w:tr>
    </w:tbl>
    <w:p w14:paraId="0289D7D1" w14:textId="77777777" w:rsidR="00941D48" w:rsidRDefault="00941D48" w:rsidP="00941D48">
      <w:pPr>
        <w:pStyle w:val="BodyText"/>
        <w:spacing w:before="135"/>
        <w:rPr>
          <w:rFonts w:ascii="Arial"/>
          <w:b/>
          <w:sz w:val="20"/>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6961"/>
      </w:tblGrid>
      <w:tr w:rsidR="00941D48" w:rsidRPr="00941D48" w14:paraId="72792334" w14:textId="77777777" w:rsidTr="00BC4C5D">
        <w:trPr>
          <w:trHeight w:val="3381"/>
        </w:trPr>
        <w:tc>
          <w:tcPr>
            <w:tcW w:w="2263" w:type="dxa"/>
            <w:tcBorders>
              <w:bottom w:val="single" w:sz="4" w:space="0" w:color="auto"/>
            </w:tcBorders>
            <w:shd w:val="clear" w:color="auto" w:fill="FFE499"/>
            <w:vAlign w:val="center"/>
          </w:tcPr>
          <w:p w14:paraId="7D292A5D" w14:textId="77777777" w:rsidR="00941D48" w:rsidRDefault="00941D48" w:rsidP="00BC4C5D">
            <w:pPr>
              <w:pStyle w:val="TableParagraph"/>
              <w:spacing w:line="276" w:lineRule="auto"/>
              <w:ind w:left="8"/>
              <w:jc w:val="center"/>
              <w:rPr>
                <w:b/>
                <w:sz w:val="24"/>
              </w:rPr>
            </w:pPr>
            <w:proofErr w:type="spellStart"/>
            <w:r>
              <w:rPr>
                <w:b/>
                <w:spacing w:val="-2"/>
                <w:sz w:val="24"/>
              </w:rPr>
              <w:t>Εισ</w:t>
            </w:r>
            <w:proofErr w:type="spellEnd"/>
            <w:r>
              <w:rPr>
                <w:b/>
                <w:spacing w:val="-2"/>
                <w:sz w:val="24"/>
              </w:rPr>
              <w:t>αγωγή</w:t>
            </w:r>
          </w:p>
        </w:tc>
        <w:tc>
          <w:tcPr>
            <w:tcW w:w="6961" w:type="dxa"/>
            <w:tcBorders>
              <w:bottom w:val="single" w:sz="4" w:space="0" w:color="auto"/>
            </w:tcBorders>
            <w:vAlign w:val="center"/>
          </w:tcPr>
          <w:p w14:paraId="2F4B2FE5" w14:textId="77777777" w:rsidR="00941D48" w:rsidRPr="008C5C4A" w:rsidRDefault="00941D48" w:rsidP="00BC4C5D">
            <w:pPr>
              <w:pStyle w:val="TableParagraph"/>
              <w:spacing w:line="276" w:lineRule="auto"/>
              <w:ind w:left="79" w:right="64"/>
              <w:jc w:val="both"/>
              <w:rPr>
                <w:lang w:val="el-GR"/>
              </w:rPr>
            </w:pPr>
            <w:r w:rsidRPr="008C5C4A">
              <w:rPr>
                <w:lang w:val="el-GR"/>
              </w:rPr>
              <w:t xml:space="preserve">Καλώς ήρθατε στο πρόγραμμα </w:t>
            </w:r>
            <w:r>
              <w:t>One</w:t>
            </w:r>
            <w:r w:rsidRPr="008C5C4A">
              <w:rPr>
                <w:lang w:val="el-GR"/>
              </w:rPr>
              <w:t xml:space="preserve"> </w:t>
            </w:r>
            <w:r>
              <w:t>Step</w:t>
            </w:r>
            <w:r w:rsidRPr="008C5C4A">
              <w:rPr>
                <w:lang w:val="el-GR"/>
              </w:rPr>
              <w:t xml:space="preserve"> </w:t>
            </w:r>
            <w:r>
              <w:t>Up</w:t>
            </w:r>
            <w:r w:rsidRPr="008C5C4A">
              <w:rPr>
                <w:lang w:val="el-GR"/>
              </w:rPr>
              <w:t>, όπου πιστεύουμε στη δύναμη της δια βίου μάθησης για την απελευθέρωση των πραγματικών δυνατοτήτων του ατόμου και την προώθηση της κοινωνικής ένταξης. Η καινοτόμος προσέγγισή μας αποσκοπεί στην υποστήριξη περιθωριοποιημένων ενηλίκων στο ταξίδι τους προς την προσωπική ανάπτυξη και επιτυχία. Σε αυτό το βίντεο</w:t>
            </w:r>
            <w:r w:rsidRPr="008C5C4A">
              <w:rPr>
                <w:spacing w:val="-6"/>
                <w:lang w:val="el-GR"/>
              </w:rPr>
              <w:t xml:space="preserve">, </w:t>
            </w:r>
            <w:r w:rsidRPr="008C5C4A">
              <w:rPr>
                <w:lang w:val="el-GR"/>
              </w:rPr>
              <w:t xml:space="preserve">είμαστε ενθουσιασμένοι που θα βουτήξουμε </w:t>
            </w:r>
            <w:r w:rsidRPr="008C5C4A">
              <w:rPr>
                <w:spacing w:val="-4"/>
                <w:lang w:val="el-GR"/>
              </w:rPr>
              <w:t xml:space="preserve">στον </w:t>
            </w:r>
            <w:r w:rsidRPr="008C5C4A">
              <w:rPr>
                <w:lang w:val="el-GR"/>
              </w:rPr>
              <w:t>κόσμο των αθλημάτων και των χόμπι και θα εξερευνήσουμε πώς μπορούν να χρησιμοποιηθούν αυτοί οι κλάδοι για να βελτιώσετε την πολιτισμική σας συνείδηση και την ικανότητα έκφρασης. Ετοιμαστείτε λοιπόν να διευρύνετε τους ορίζοντές σας και να διευρύνετε τις προοπτικές σας καθώς ξεκινάμε μαζί αυτό το συναρπαστικό ταξίδι μάθησης!</w:t>
            </w:r>
          </w:p>
        </w:tc>
      </w:tr>
      <w:tr w:rsidR="00941D48" w:rsidRPr="00941D48" w14:paraId="1D57FD48" w14:textId="77777777" w:rsidTr="00BC4C5D">
        <w:trPr>
          <w:trHeight w:val="5146"/>
        </w:trPr>
        <w:tc>
          <w:tcPr>
            <w:tcW w:w="2263" w:type="dxa"/>
            <w:tcBorders>
              <w:top w:val="single" w:sz="4" w:space="0" w:color="auto"/>
              <w:left w:val="single" w:sz="4" w:space="0" w:color="auto"/>
              <w:right w:val="single" w:sz="4" w:space="0" w:color="auto"/>
            </w:tcBorders>
            <w:shd w:val="clear" w:color="auto" w:fill="FFE499"/>
            <w:vAlign w:val="center"/>
          </w:tcPr>
          <w:p w14:paraId="2C4878E1" w14:textId="77777777" w:rsidR="00941D48" w:rsidRDefault="00941D48" w:rsidP="00BC4C5D">
            <w:pPr>
              <w:pStyle w:val="TableParagraph"/>
              <w:spacing w:line="276" w:lineRule="auto"/>
              <w:ind w:left="8" w:right="2"/>
              <w:jc w:val="center"/>
              <w:rPr>
                <w:b/>
                <w:sz w:val="24"/>
              </w:rPr>
            </w:pPr>
            <w:r>
              <w:rPr>
                <w:b/>
                <w:sz w:val="24"/>
              </w:rPr>
              <w:t>Βα</w:t>
            </w:r>
            <w:proofErr w:type="spellStart"/>
            <w:r>
              <w:rPr>
                <w:b/>
                <w:sz w:val="24"/>
              </w:rPr>
              <w:t>σική</w:t>
            </w:r>
            <w:proofErr w:type="spellEnd"/>
            <w:r>
              <w:rPr>
                <w:b/>
                <w:sz w:val="24"/>
              </w:rPr>
              <w:t xml:space="preserve"> </w:t>
            </w:r>
            <w:proofErr w:type="spellStart"/>
            <w:r>
              <w:rPr>
                <w:b/>
                <w:spacing w:val="-2"/>
                <w:sz w:val="24"/>
              </w:rPr>
              <w:t>μάθηση</w:t>
            </w:r>
            <w:proofErr w:type="spellEnd"/>
            <w:r>
              <w:rPr>
                <w:b/>
                <w:sz w:val="24"/>
              </w:rPr>
              <w:t xml:space="preserve"> </w:t>
            </w:r>
            <w:proofErr w:type="spellStart"/>
            <w:r>
              <w:rPr>
                <w:b/>
                <w:sz w:val="24"/>
              </w:rPr>
              <w:t>Περιεχόμενο</w:t>
            </w:r>
            <w:proofErr w:type="spellEnd"/>
            <w:r>
              <w:rPr>
                <w:b/>
                <w:sz w:val="24"/>
              </w:rPr>
              <w:t xml:space="preserve"> </w:t>
            </w:r>
            <w:r>
              <w:rPr>
                <w:b/>
                <w:spacing w:val="-10"/>
                <w:sz w:val="24"/>
              </w:rPr>
              <w:t>1</w:t>
            </w:r>
          </w:p>
        </w:tc>
        <w:tc>
          <w:tcPr>
            <w:tcW w:w="6961" w:type="dxa"/>
            <w:tcBorders>
              <w:top w:val="single" w:sz="4" w:space="0" w:color="auto"/>
              <w:left w:val="single" w:sz="4" w:space="0" w:color="auto"/>
              <w:right w:val="single" w:sz="4" w:space="0" w:color="auto"/>
            </w:tcBorders>
            <w:vAlign w:val="center"/>
          </w:tcPr>
          <w:p w14:paraId="7352144B" w14:textId="77777777" w:rsidR="00941D48" w:rsidRDefault="00941D48" w:rsidP="00BC4C5D">
            <w:pPr>
              <w:pStyle w:val="TableParagraph"/>
              <w:spacing w:line="276" w:lineRule="auto"/>
              <w:ind w:left="79" w:right="65"/>
              <w:jc w:val="both"/>
              <w:rPr>
                <w:lang w:val="el-GR"/>
              </w:rPr>
            </w:pPr>
            <w:r w:rsidRPr="008C5C4A">
              <w:rPr>
                <w:lang w:val="el-GR"/>
              </w:rPr>
              <w:t xml:space="preserve">Η πολιτιστική συνείδηση και η ικανότητα έκφρασης περιλαμβάνει την κατανόηση και τον σεβασμό του τρόπου με τον οποίο οι ιδέες και το νόημα εκφράζονται και </w:t>
            </w:r>
            <w:proofErr w:type="spellStart"/>
            <w:r w:rsidRPr="008C5C4A">
              <w:rPr>
                <w:lang w:val="el-GR"/>
              </w:rPr>
              <w:t>επικοινωνούνται</w:t>
            </w:r>
            <w:proofErr w:type="spellEnd"/>
            <w:r w:rsidRPr="008C5C4A">
              <w:rPr>
                <w:lang w:val="el-GR"/>
              </w:rPr>
              <w:t xml:space="preserve"> δημιουργικά σε διαφορετικούς πολιτισμούς και μέσω ενός φάσματος τεχνών και άλλων πολιτιστικών μορφών. Περιλαμβάνει την ανάπτυξη και την έκφραση των ιδεών του ατόμου. Απαιτεί τη γνώση των τοπικών, ευρωπαϊκών και παγκόσμιων πολιτισμών και την ικανότητα έκφρασης ιδεών και συναισθημάτων.</w:t>
            </w:r>
          </w:p>
          <w:p w14:paraId="2EE1892B" w14:textId="77777777" w:rsidR="00941D48" w:rsidRPr="00AB1033" w:rsidRDefault="00941D48" w:rsidP="00BC4C5D">
            <w:pPr>
              <w:pStyle w:val="TableParagraph"/>
              <w:spacing w:line="276" w:lineRule="auto"/>
              <w:ind w:left="79" w:right="65"/>
              <w:jc w:val="both"/>
              <w:rPr>
                <w:rFonts w:ascii="Times New Roman"/>
                <w:lang w:val="el-GR"/>
              </w:rPr>
            </w:pPr>
            <w:r w:rsidRPr="008C5C4A">
              <w:rPr>
                <w:lang w:val="el-GR"/>
              </w:rPr>
              <w:t>Πώς μπορούν όμως ο αθλητισμός και τα χόμπι να συμμετέχουν στην ανάπτυξη αυτής της ικανότητας; Ο αθλητισμός είναι ένα εργαλείο που φέρνει κοντά ανθρώπους από διαφορετικές χώρες, ηπείρους, πολιτισμούς και υπόβαθρα. Ενώνει τους ανθρώπους κάτω από το ίδιο κίνητρο. Το πρώτο βήμα για να είναι κανείς πολιτισμικά ικανός είναι να αναγνωρίσει και να αποδεχτεί ότι τα άτομα έχουν διασταυρούμενες πολιτισμικές ταυτότητες οι οποίες κατά καιρούς αποτελούνται από περισσότερα από ένα μόνο πολιτισμικά χαρακτηριστικά όπως: φύλο - σεξουαλικές ταυτότητες, κοινωνικοοικονομική κατάσταση κ.λπ.</w:t>
            </w:r>
          </w:p>
        </w:tc>
      </w:tr>
      <w:tr w:rsidR="00941D48" w:rsidRPr="00941D48" w14:paraId="02B38A00" w14:textId="77777777" w:rsidTr="00BC4C5D">
        <w:trPr>
          <w:trHeight w:val="1038"/>
        </w:trPr>
        <w:tc>
          <w:tcPr>
            <w:tcW w:w="2263" w:type="dxa"/>
            <w:tcBorders>
              <w:top w:val="single" w:sz="4" w:space="0" w:color="auto"/>
            </w:tcBorders>
            <w:shd w:val="clear" w:color="auto" w:fill="FFE499"/>
            <w:vAlign w:val="center"/>
          </w:tcPr>
          <w:p w14:paraId="539C71A5" w14:textId="77777777" w:rsidR="00941D48" w:rsidRDefault="00941D48" w:rsidP="00BC4C5D">
            <w:pPr>
              <w:pStyle w:val="TableParagraph"/>
              <w:spacing w:line="276" w:lineRule="auto"/>
              <w:ind w:left="87" w:right="479"/>
              <w:rPr>
                <w:b/>
                <w:sz w:val="24"/>
              </w:rPr>
            </w:pPr>
            <w:r>
              <w:rPr>
                <w:b/>
                <w:sz w:val="24"/>
              </w:rPr>
              <w:t>Βα</w:t>
            </w:r>
            <w:proofErr w:type="spellStart"/>
            <w:r>
              <w:rPr>
                <w:b/>
                <w:sz w:val="24"/>
              </w:rPr>
              <w:t>σικό</w:t>
            </w:r>
            <w:proofErr w:type="spellEnd"/>
            <w:r>
              <w:rPr>
                <w:b/>
                <w:sz w:val="24"/>
                <w:lang w:val="el-GR"/>
              </w:rPr>
              <w:t xml:space="preserve"> </w:t>
            </w:r>
            <w:r>
              <w:rPr>
                <w:b/>
                <w:sz w:val="24"/>
              </w:rPr>
              <w:t>μα</w:t>
            </w:r>
            <w:proofErr w:type="spellStart"/>
            <w:r>
              <w:rPr>
                <w:b/>
                <w:sz w:val="24"/>
              </w:rPr>
              <w:t>θησι</w:t>
            </w:r>
            <w:proofErr w:type="spellEnd"/>
            <w:r>
              <w:rPr>
                <w:b/>
                <w:sz w:val="24"/>
              </w:rPr>
              <w:t>ακό π</w:t>
            </w:r>
            <w:proofErr w:type="spellStart"/>
            <w:r>
              <w:rPr>
                <w:b/>
                <w:sz w:val="24"/>
              </w:rPr>
              <w:t>εριεχόμενο</w:t>
            </w:r>
            <w:proofErr w:type="spellEnd"/>
            <w:r>
              <w:rPr>
                <w:b/>
                <w:sz w:val="24"/>
              </w:rPr>
              <w:t xml:space="preserve"> 2</w:t>
            </w:r>
          </w:p>
        </w:tc>
        <w:tc>
          <w:tcPr>
            <w:tcW w:w="6961" w:type="dxa"/>
            <w:tcBorders>
              <w:top w:val="single" w:sz="4" w:space="0" w:color="auto"/>
            </w:tcBorders>
            <w:vAlign w:val="center"/>
          </w:tcPr>
          <w:p w14:paraId="33C0B383" w14:textId="77777777" w:rsidR="00941D48" w:rsidRPr="008C5C4A" w:rsidRDefault="00941D48" w:rsidP="00BC4C5D">
            <w:pPr>
              <w:pStyle w:val="TableParagraph"/>
              <w:spacing w:line="276" w:lineRule="auto"/>
              <w:ind w:left="79"/>
              <w:rPr>
                <w:lang w:val="el-GR"/>
              </w:rPr>
            </w:pPr>
            <w:r w:rsidRPr="008C5C4A">
              <w:rPr>
                <w:lang w:val="el-GR"/>
              </w:rPr>
              <w:t xml:space="preserve">Ακολουθούν μερικά παραδείγματα διαφορετικότητας στον αθλητισμό που δείχνουν πολιτισμική </w:t>
            </w:r>
            <w:r w:rsidRPr="008C5C4A">
              <w:rPr>
                <w:spacing w:val="-2"/>
                <w:lang w:val="el-GR"/>
              </w:rPr>
              <w:t>ευαισθητοποίηση:</w:t>
            </w:r>
          </w:p>
        </w:tc>
      </w:tr>
    </w:tbl>
    <w:p w14:paraId="3CC1DA92" w14:textId="77777777" w:rsidR="00941D48" w:rsidRPr="008C5C4A" w:rsidRDefault="00941D48" w:rsidP="00941D48">
      <w:pPr>
        <w:rPr>
          <w:lang w:val="el-GR"/>
        </w:rPr>
        <w:sectPr w:rsidR="00941D48" w:rsidRPr="008C5C4A" w:rsidSect="001A649A">
          <w:pgSz w:w="11910" w:h="16840"/>
          <w:pgMar w:top="1380" w:right="720" w:bottom="280" w:left="860" w:header="720" w:footer="720" w:gutter="0"/>
          <w:cols w:space="720"/>
        </w:sect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6961"/>
      </w:tblGrid>
      <w:tr w:rsidR="00941D48" w:rsidRPr="00941D48" w14:paraId="382E22D7" w14:textId="77777777" w:rsidTr="00BC4C5D">
        <w:trPr>
          <w:trHeight w:val="5959"/>
        </w:trPr>
        <w:tc>
          <w:tcPr>
            <w:tcW w:w="2263" w:type="dxa"/>
            <w:shd w:val="clear" w:color="auto" w:fill="FFE499"/>
            <w:vAlign w:val="center"/>
          </w:tcPr>
          <w:p w14:paraId="73EAF233" w14:textId="77777777" w:rsidR="00941D48" w:rsidRPr="008C5C4A" w:rsidRDefault="00941D48" w:rsidP="00BC4C5D">
            <w:pPr>
              <w:pStyle w:val="TableParagraph"/>
              <w:spacing w:line="276" w:lineRule="auto"/>
              <w:rPr>
                <w:rFonts w:ascii="Times New Roman"/>
                <w:lang w:val="el-GR"/>
              </w:rPr>
            </w:pPr>
          </w:p>
        </w:tc>
        <w:tc>
          <w:tcPr>
            <w:tcW w:w="6961" w:type="dxa"/>
            <w:vAlign w:val="center"/>
          </w:tcPr>
          <w:p w14:paraId="175A733C" w14:textId="77777777" w:rsidR="00941D48" w:rsidRPr="008C5C4A" w:rsidRDefault="00941D48" w:rsidP="00941D48">
            <w:pPr>
              <w:pStyle w:val="TableParagraph"/>
              <w:numPr>
                <w:ilvl w:val="0"/>
                <w:numId w:val="2"/>
              </w:numPr>
              <w:tabs>
                <w:tab w:val="left" w:pos="799"/>
              </w:tabs>
              <w:spacing w:before="81" w:line="276" w:lineRule="auto"/>
              <w:ind w:right="70"/>
              <w:rPr>
                <w:lang w:val="el-GR"/>
              </w:rPr>
            </w:pPr>
            <w:r w:rsidRPr="008C5C4A">
              <w:rPr>
                <w:lang w:val="el-GR"/>
              </w:rPr>
              <w:t xml:space="preserve">Η </w:t>
            </w:r>
            <w:proofErr w:type="spellStart"/>
            <w:r w:rsidRPr="008C5C4A">
              <w:rPr>
                <w:lang w:val="el-GR"/>
              </w:rPr>
              <w:t>Χάκα</w:t>
            </w:r>
            <w:proofErr w:type="spellEnd"/>
            <w:r w:rsidRPr="008C5C4A">
              <w:rPr>
                <w:lang w:val="el-GR"/>
              </w:rPr>
              <w:t>: υπάρχει μια ποικιλία τελετουργικών χορών στον πολιτισμό των Μαορί. Συχνά εκτελούνται από μια ομάδα ανδρών και γυναικών από τη Νέα Ζηλανδία πριν από έναν αθλητικό αγώνα, όπως για παράδειγμα το ράγκμπι. Το κάνουν για να προκαλέσουν τους αντιπάλους τους πριν από διεθνείς αγώνες.</w:t>
            </w:r>
          </w:p>
          <w:p w14:paraId="04037D12" w14:textId="77777777" w:rsidR="00941D48" w:rsidRPr="008C5C4A" w:rsidRDefault="00941D48" w:rsidP="00941D48">
            <w:pPr>
              <w:pStyle w:val="TableParagraph"/>
              <w:numPr>
                <w:ilvl w:val="0"/>
                <w:numId w:val="2"/>
              </w:numPr>
              <w:tabs>
                <w:tab w:val="left" w:pos="799"/>
              </w:tabs>
              <w:spacing w:line="276" w:lineRule="auto"/>
              <w:ind w:right="217"/>
              <w:rPr>
                <w:lang w:val="el-GR"/>
              </w:rPr>
            </w:pPr>
            <w:r w:rsidRPr="008C5C4A">
              <w:rPr>
                <w:lang w:val="el-GR"/>
              </w:rPr>
              <w:t xml:space="preserve">Ένα άλλο παράδειγμα είναι η χρήση του </w:t>
            </w:r>
            <w:proofErr w:type="spellStart"/>
            <w:r w:rsidRPr="008C5C4A">
              <w:rPr>
                <w:lang w:val="el-GR"/>
              </w:rPr>
              <w:t>χιτζάμπ</w:t>
            </w:r>
            <w:proofErr w:type="spellEnd"/>
            <w:r w:rsidRPr="008C5C4A">
              <w:rPr>
                <w:lang w:val="el-GR"/>
              </w:rPr>
              <w:t xml:space="preserve">. Πράγματι, το να επιτρέπεται στις αθλήτριες να φορούν </w:t>
            </w:r>
            <w:proofErr w:type="spellStart"/>
            <w:r w:rsidRPr="008C5C4A">
              <w:rPr>
                <w:lang w:val="el-GR"/>
              </w:rPr>
              <w:t>χιτζάμπ</w:t>
            </w:r>
            <w:proofErr w:type="spellEnd"/>
            <w:r w:rsidRPr="008C5C4A">
              <w:rPr>
                <w:lang w:val="el-GR"/>
              </w:rPr>
              <w:t xml:space="preserve"> στον αθλητισμό μπορεί να αυξήσει τη συμμετοχή των μουσουλμάνων γυναικών και να εμπνεύσει τις νεότερες γενιές μουσουλμάνων κοριτσιών που επιθυμούν να συμμετάσχουν.</w:t>
            </w:r>
          </w:p>
          <w:p w14:paraId="14E1DED4" w14:textId="77777777" w:rsidR="00941D48" w:rsidRPr="008C5C4A" w:rsidRDefault="00941D48" w:rsidP="00BC4C5D">
            <w:pPr>
              <w:pStyle w:val="TableParagraph"/>
              <w:spacing w:before="159" w:line="276" w:lineRule="auto"/>
              <w:ind w:left="79" w:right="65"/>
              <w:jc w:val="both"/>
              <w:rPr>
                <w:lang w:val="el-GR"/>
              </w:rPr>
            </w:pPr>
            <w:r w:rsidRPr="008C5C4A">
              <w:rPr>
                <w:lang w:val="el-GR"/>
              </w:rPr>
              <w:t xml:space="preserve">Ωστόσο, υπάρχει ακόμη κάποια πρόοδος που πρέπει να επιτευχθεί. Πράγματι, ο ρατσισμός εξακολουθεί να είναι πολύ παρών στον αθλητισμό. Πάρτε το παράδειγμα του ποδοσφαίρου, όπου πολλοί παίκτες υφίστανται ρατσισμό. Η ένταξη των γυναικών στον αθλητισμό </w:t>
            </w:r>
            <w:r w:rsidRPr="008C5C4A">
              <w:rPr>
                <w:spacing w:val="-1"/>
                <w:lang w:val="el-GR"/>
              </w:rPr>
              <w:t>αποτελεί</w:t>
            </w:r>
            <w:r w:rsidRPr="008C5C4A">
              <w:rPr>
                <w:lang w:val="el-GR"/>
              </w:rPr>
              <w:t xml:space="preserve"> επίσης μεγάλο πρόβλημα. Οι γυναίκες δεν έχουν την ίδια πρόσβαση ή την ίδια προβολή με τους άνδρες. Για παράδειγμα, δεν υπάρχουν γυναίκες που συμμετέχουν στη </w:t>
            </w:r>
            <w:r>
              <w:t>Formula</w:t>
            </w:r>
            <w:r w:rsidRPr="008C5C4A">
              <w:rPr>
                <w:lang w:val="el-GR"/>
              </w:rPr>
              <w:t xml:space="preserve"> 1. Επίσης, οι επαγγελματίες γυναίκες αθλητές τείνουν να μην αμείβονται το ίδιο με τους άνδρες.</w:t>
            </w:r>
          </w:p>
        </w:tc>
      </w:tr>
      <w:tr w:rsidR="00941D48" w:rsidRPr="00941D48" w14:paraId="4343EB82" w14:textId="77777777" w:rsidTr="00BC4C5D">
        <w:trPr>
          <w:trHeight w:val="6495"/>
        </w:trPr>
        <w:tc>
          <w:tcPr>
            <w:tcW w:w="2263" w:type="dxa"/>
            <w:shd w:val="clear" w:color="auto" w:fill="FFE499"/>
            <w:vAlign w:val="center"/>
          </w:tcPr>
          <w:p w14:paraId="5CFB51F1" w14:textId="77777777" w:rsidR="00941D48" w:rsidRDefault="00941D48" w:rsidP="00BC4C5D">
            <w:pPr>
              <w:pStyle w:val="TableParagraph"/>
              <w:spacing w:before="81" w:line="276" w:lineRule="auto"/>
              <w:ind w:left="229" w:right="479" w:firstLine="14"/>
              <w:rPr>
                <w:b/>
                <w:sz w:val="24"/>
              </w:rPr>
            </w:pPr>
            <w:r>
              <w:rPr>
                <w:b/>
                <w:sz w:val="24"/>
              </w:rPr>
              <w:t>Βα</w:t>
            </w:r>
            <w:proofErr w:type="spellStart"/>
            <w:r>
              <w:rPr>
                <w:b/>
                <w:sz w:val="24"/>
              </w:rPr>
              <w:t>σικό</w:t>
            </w:r>
            <w:proofErr w:type="spellEnd"/>
            <w:r>
              <w:rPr>
                <w:b/>
                <w:sz w:val="24"/>
              </w:rPr>
              <w:t xml:space="preserve"> μα</w:t>
            </w:r>
            <w:proofErr w:type="spellStart"/>
            <w:r>
              <w:rPr>
                <w:b/>
                <w:sz w:val="24"/>
              </w:rPr>
              <w:t>θησι</w:t>
            </w:r>
            <w:proofErr w:type="spellEnd"/>
            <w:r>
              <w:rPr>
                <w:b/>
                <w:sz w:val="24"/>
              </w:rPr>
              <w:t>ακό π</w:t>
            </w:r>
            <w:proofErr w:type="spellStart"/>
            <w:r>
              <w:rPr>
                <w:b/>
                <w:sz w:val="24"/>
              </w:rPr>
              <w:t>εριεχόμενο</w:t>
            </w:r>
            <w:proofErr w:type="spellEnd"/>
            <w:r>
              <w:rPr>
                <w:b/>
                <w:sz w:val="24"/>
              </w:rPr>
              <w:t xml:space="preserve"> 3</w:t>
            </w:r>
          </w:p>
        </w:tc>
        <w:tc>
          <w:tcPr>
            <w:tcW w:w="6961" w:type="dxa"/>
            <w:vAlign w:val="center"/>
          </w:tcPr>
          <w:p w14:paraId="30838177" w14:textId="77777777" w:rsidR="00941D48" w:rsidRPr="008C5C4A" w:rsidRDefault="00941D48" w:rsidP="00BC4C5D">
            <w:pPr>
              <w:pStyle w:val="TableParagraph"/>
              <w:spacing w:before="1" w:line="276" w:lineRule="auto"/>
              <w:ind w:left="79" w:right="64"/>
              <w:jc w:val="both"/>
              <w:rPr>
                <w:lang w:val="el-GR"/>
              </w:rPr>
            </w:pPr>
            <w:r w:rsidRPr="008C5C4A">
              <w:rPr>
                <w:lang w:val="el-GR"/>
              </w:rPr>
              <w:t xml:space="preserve">Το πρώτο βήμα για να γίνουμε πολιτισμικά ικανοί είναι να δεσμευτούμε ότι θα εργαστούμε για να κατανοήσουμε τις διαφορές των άλλων. Όλοι μας είμαστε προϊόντα της δικής μας πολιτισμικής ταυτότητας και έχουμε προκαταλήψεις και αξίες που συνδέονται με τις εμπειρίες μας. Για παράδειγμα, ένας εκπαιδευτής κολύμβησης που έχει μεγαλώσει σε δυτικό πολιτισμό μπορεί να υποθέσει ότι όλοι οι μαθητές του θα αισθάνονται άνετα να συμμετέχουν σε μαθήματα μεικτού φύλου ή να φορούν το παραδοσιακό δυτικό κοστούμι. Ωστόσο, μαθητές από ορισμένα έθνη ή </w:t>
            </w:r>
            <w:proofErr w:type="spellStart"/>
            <w:r w:rsidRPr="008C5C4A">
              <w:rPr>
                <w:lang w:val="el-GR"/>
              </w:rPr>
              <w:t>εθνοτικές</w:t>
            </w:r>
            <w:proofErr w:type="spellEnd"/>
            <w:r w:rsidRPr="008C5C4A">
              <w:rPr>
                <w:lang w:val="el-GR"/>
              </w:rPr>
              <w:t xml:space="preserve"> ομάδες μπορεί να προέρχονται από κοινωνίες όπου είναι πιο αποδεκτό να φορούν κοστούμια που καλύπτουν περισσότερο το σώμα ή που αποδοκιμάζουν τα ομαδικά μαθήματα κολύμβησης.</w:t>
            </w:r>
          </w:p>
          <w:p w14:paraId="400A6FD2" w14:textId="77777777" w:rsidR="00941D48" w:rsidRPr="008C5C4A" w:rsidRDefault="00941D48" w:rsidP="00BC4C5D">
            <w:pPr>
              <w:pStyle w:val="TableParagraph"/>
              <w:spacing w:before="149" w:line="276" w:lineRule="auto"/>
              <w:rPr>
                <w:rFonts w:ascii="Arial"/>
                <w:b/>
                <w:lang w:val="el-GR"/>
              </w:rPr>
            </w:pPr>
          </w:p>
          <w:p w14:paraId="6B70B0F7" w14:textId="77777777" w:rsidR="00941D48" w:rsidRPr="008C5C4A" w:rsidRDefault="00941D48" w:rsidP="00BC4C5D">
            <w:pPr>
              <w:pStyle w:val="TableParagraph"/>
              <w:spacing w:line="276" w:lineRule="auto"/>
              <w:ind w:left="79" w:right="69"/>
              <w:jc w:val="both"/>
              <w:rPr>
                <w:lang w:val="el-GR"/>
              </w:rPr>
            </w:pPr>
            <w:r w:rsidRPr="008C5C4A">
              <w:rPr>
                <w:lang w:val="el-GR"/>
              </w:rPr>
              <w:t>Το δεύτερο βήμα είναι η πολιτισμική επάρκεια στην επικοινωνία. Για παράδειγμα, σε ορισμένες χώρες, οι άνθρωποι χαιρετούν ο ένας τον άλλον με χειραψία, άλλοι με υπόκλιση και άλλοι με ένα φιλί στο ένα ή και στα δύο μάγουλα. Τα αθλήματα θα σας βοηθήσουν να μάθετε την κατάλληλη μέθοδο σε κάθε πολιτισμό.</w:t>
            </w:r>
          </w:p>
          <w:p w14:paraId="5D41E03A" w14:textId="77777777" w:rsidR="00941D48" w:rsidRPr="008C5C4A" w:rsidRDefault="00941D48" w:rsidP="00BC4C5D">
            <w:pPr>
              <w:pStyle w:val="TableParagraph"/>
              <w:spacing w:before="2" w:line="276" w:lineRule="auto"/>
              <w:ind w:left="79" w:right="69"/>
              <w:jc w:val="both"/>
              <w:rPr>
                <w:lang w:val="el-GR"/>
              </w:rPr>
            </w:pPr>
            <w:r w:rsidRPr="008C5C4A">
              <w:rPr>
                <w:lang w:val="el-GR"/>
              </w:rPr>
              <w:t>Είναι σημαντικό να προσπαθήσουμε να χρησιμοποιήσουμε στρατηγικές που επιτρέπουν σε ανθρώπους όλων των καταβολών να αισθάνονται ευπρόσδεκτοι και να συμπεριλαμβάνονται στον αθλητισμό.</w:t>
            </w:r>
          </w:p>
        </w:tc>
      </w:tr>
    </w:tbl>
    <w:p w14:paraId="1FAEBD49" w14:textId="77777777" w:rsidR="00941D48" w:rsidRPr="008C5C4A" w:rsidRDefault="00941D48" w:rsidP="00941D48">
      <w:pPr>
        <w:spacing w:line="357" w:lineRule="auto"/>
        <w:jc w:val="both"/>
        <w:rPr>
          <w:lang w:val="el-GR"/>
        </w:rPr>
        <w:sectPr w:rsidR="00941D48" w:rsidRPr="008C5C4A" w:rsidSect="001A649A">
          <w:type w:val="continuous"/>
          <w:pgSz w:w="11910" w:h="16840"/>
          <w:pgMar w:top="1400" w:right="720" w:bottom="1554" w:left="860" w:header="720" w:footer="720" w:gutter="0"/>
          <w:cols w:space="720"/>
        </w:sect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6961"/>
      </w:tblGrid>
      <w:tr w:rsidR="00941D48" w:rsidRPr="00941D48" w14:paraId="3CF190DF" w14:textId="77777777" w:rsidTr="00BC4C5D">
        <w:trPr>
          <w:trHeight w:val="1771"/>
        </w:trPr>
        <w:tc>
          <w:tcPr>
            <w:tcW w:w="2263" w:type="dxa"/>
            <w:shd w:val="clear" w:color="auto" w:fill="FFE499"/>
          </w:tcPr>
          <w:p w14:paraId="0DA051F2" w14:textId="77777777" w:rsidR="00941D48" w:rsidRDefault="00941D48" w:rsidP="00BC4C5D">
            <w:pPr>
              <w:pStyle w:val="TableParagraph"/>
              <w:spacing w:before="81" w:line="276" w:lineRule="auto"/>
              <w:ind w:left="194" w:firstLine="35"/>
              <w:rPr>
                <w:b/>
                <w:sz w:val="24"/>
              </w:rPr>
            </w:pPr>
            <w:proofErr w:type="spellStart"/>
            <w:r>
              <w:rPr>
                <w:b/>
                <w:sz w:val="24"/>
              </w:rPr>
              <w:lastRenderedPageBreak/>
              <w:t>Σύνοψη</w:t>
            </w:r>
            <w:proofErr w:type="spellEnd"/>
            <w:r>
              <w:rPr>
                <w:b/>
                <w:sz w:val="24"/>
              </w:rPr>
              <w:t xml:space="preserve"> και </w:t>
            </w:r>
            <w:proofErr w:type="spellStart"/>
            <w:r>
              <w:rPr>
                <w:b/>
                <w:spacing w:val="-2"/>
                <w:sz w:val="24"/>
              </w:rPr>
              <w:t>συστάσεις</w:t>
            </w:r>
            <w:proofErr w:type="spellEnd"/>
          </w:p>
        </w:tc>
        <w:tc>
          <w:tcPr>
            <w:tcW w:w="6961" w:type="dxa"/>
          </w:tcPr>
          <w:p w14:paraId="5A745BC6" w14:textId="77777777" w:rsidR="00941D48" w:rsidRPr="008C5C4A" w:rsidRDefault="00941D48" w:rsidP="00BC4C5D">
            <w:pPr>
              <w:pStyle w:val="TableParagraph"/>
              <w:spacing w:before="81" w:line="276" w:lineRule="auto"/>
              <w:ind w:left="79" w:right="67"/>
              <w:jc w:val="both"/>
              <w:rPr>
                <w:lang w:val="el-GR"/>
              </w:rPr>
            </w:pPr>
            <w:r w:rsidRPr="008C5C4A">
              <w:rPr>
                <w:lang w:val="el-GR"/>
              </w:rPr>
              <w:t>Τώρα, ξέρετε ακριβώς τι πρέπει να κάνετε αν θέλετε να βελτιώσετε την πολιτισμική σας επίγνωση και την ικανότητα έκφρασης. Ο αθλητισμός και τα χόμπι μπορούν να αποτελέσουν έναν καλό συμβιβασμό μεταξύ της εκμάθησης του τρόπου ανάπτυξης αυτών των δεξιοτήτων και της διασκέδασης!</w:t>
            </w:r>
          </w:p>
        </w:tc>
      </w:tr>
      <w:tr w:rsidR="00941D48" w:rsidRPr="00941D48" w14:paraId="71FDC0E7" w14:textId="77777777" w:rsidTr="00BC4C5D">
        <w:trPr>
          <w:trHeight w:val="1773"/>
        </w:trPr>
        <w:tc>
          <w:tcPr>
            <w:tcW w:w="2263" w:type="dxa"/>
            <w:shd w:val="clear" w:color="auto" w:fill="FFE499"/>
          </w:tcPr>
          <w:p w14:paraId="1A4FA1F7" w14:textId="77777777" w:rsidR="00941D48" w:rsidRDefault="00941D48" w:rsidP="00BC4C5D">
            <w:pPr>
              <w:pStyle w:val="TableParagraph"/>
              <w:spacing w:before="81" w:line="360" w:lineRule="auto"/>
              <w:ind w:left="229" w:right="259" w:hanging="156"/>
              <w:rPr>
                <w:b/>
                <w:sz w:val="24"/>
              </w:rPr>
            </w:pPr>
            <w:proofErr w:type="spellStart"/>
            <w:r>
              <w:rPr>
                <w:b/>
                <w:sz w:val="24"/>
              </w:rPr>
              <w:t>Συγχ</w:t>
            </w:r>
            <w:proofErr w:type="spellEnd"/>
            <w:r>
              <w:rPr>
                <w:b/>
                <w:sz w:val="24"/>
              </w:rPr>
              <w:t xml:space="preserve">αρητήρια και </w:t>
            </w:r>
            <w:proofErr w:type="spellStart"/>
            <w:r>
              <w:rPr>
                <w:b/>
                <w:spacing w:val="-2"/>
                <w:sz w:val="24"/>
              </w:rPr>
              <w:t>κλείσιμο</w:t>
            </w:r>
            <w:proofErr w:type="spellEnd"/>
          </w:p>
        </w:tc>
        <w:tc>
          <w:tcPr>
            <w:tcW w:w="6961" w:type="dxa"/>
          </w:tcPr>
          <w:p w14:paraId="7C054A3B" w14:textId="77777777" w:rsidR="00941D48" w:rsidRPr="008C5C4A" w:rsidRDefault="00941D48" w:rsidP="00BC4C5D">
            <w:pPr>
              <w:pStyle w:val="TableParagraph"/>
              <w:spacing w:before="80" w:line="276" w:lineRule="auto"/>
              <w:ind w:left="79"/>
              <w:rPr>
                <w:lang w:val="el-GR"/>
              </w:rPr>
            </w:pPr>
            <w:r w:rsidRPr="008C5C4A">
              <w:rPr>
                <w:lang w:val="el-GR"/>
              </w:rPr>
              <w:t xml:space="preserve">Μπράβο! Τώρα που μάθατε πώς μπορείτε να χρησιμοποιήσετε τον αθλητισμό και τα χόμπι ως έναν τρόπο για να αναπτύξετε την πολιτισμική σας συνείδηση και την ικανότητα έκφρασης, σας προσκαλούμε να διευρύνετε τις γνώσεις σας μέσω των μαθησιακών </w:t>
            </w:r>
            <w:r w:rsidRPr="008C5C4A">
              <w:rPr>
                <w:spacing w:val="-2"/>
                <w:lang w:val="el-GR"/>
              </w:rPr>
              <w:t xml:space="preserve">πόρων </w:t>
            </w:r>
            <w:r w:rsidRPr="008C5C4A">
              <w:rPr>
                <w:lang w:val="el-GR"/>
              </w:rPr>
              <w:t xml:space="preserve">του </w:t>
            </w:r>
            <w:r>
              <w:t>One</w:t>
            </w:r>
            <w:r w:rsidRPr="008C5C4A">
              <w:rPr>
                <w:lang w:val="el-GR"/>
              </w:rPr>
              <w:t xml:space="preserve"> </w:t>
            </w:r>
            <w:r>
              <w:t>Step</w:t>
            </w:r>
            <w:r w:rsidRPr="008C5C4A">
              <w:rPr>
                <w:lang w:val="el-GR"/>
              </w:rPr>
              <w:t xml:space="preserve"> </w:t>
            </w:r>
            <w:r>
              <w:t>Up</w:t>
            </w:r>
            <w:r w:rsidRPr="008C5C4A">
              <w:rPr>
                <w:lang w:val="el-GR"/>
              </w:rPr>
              <w:t>!</w:t>
            </w:r>
          </w:p>
        </w:tc>
      </w:tr>
    </w:tbl>
    <w:p w14:paraId="43FB6C3D" w14:textId="77777777" w:rsidR="00941D48" w:rsidRDefault="00941D48" w:rsidP="00941D48">
      <w:pPr>
        <w:spacing w:line="360" w:lineRule="auto"/>
        <w:rPr>
          <w:lang w:val="el-GR"/>
        </w:rPr>
      </w:pPr>
    </w:p>
    <w:p w14:paraId="48C804D6" w14:textId="77777777" w:rsidR="00941D48" w:rsidRPr="00941D48" w:rsidRDefault="00941D48" w:rsidP="00941D48">
      <w:pPr>
        <w:rPr>
          <w:lang w:val="el-GR"/>
        </w:rPr>
      </w:pPr>
    </w:p>
    <w:p w14:paraId="71138BC6" w14:textId="77777777" w:rsidR="00941D48" w:rsidRPr="00941D48" w:rsidRDefault="00941D48" w:rsidP="00941D48">
      <w:pPr>
        <w:rPr>
          <w:lang w:val="el-GR"/>
        </w:rPr>
      </w:pPr>
    </w:p>
    <w:p w14:paraId="36F54CFF" w14:textId="77777777" w:rsidR="00941D48" w:rsidRPr="00941D48" w:rsidRDefault="00941D48" w:rsidP="00941D48">
      <w:pPr>
        <w:rPr>
          <w:lang w:val="el-GR"/>
        </w:rPr>
      </w:pPr>
    </w:p>
    <w:p w14:paraId="055EAEE2" w14:textId="77777777" w:rsidR="00941D48" w:rsidRPr="00941D48" w:rsidRDefault="00941D48" w:rsidP="00941D48">
      <w:pPr>
        <w:rPr>
          <w:lang w:val="el-GR"/>
        </w:rPr>
      </w:pPr>
    </w:p>
    <w:p w14:paraId="54D90501" w14:textId="77777777" w:rsidR="00941D48" w:rsidRPr="00941D48" w:rsidRDefault="00941D48" w:rsidP="00941D48">
      <w:pPr>
        <w:rPr>
          <w:lang w:val="el-GR"/>
        </w:rPr>
      </w:pPr>
    </w:p>
    <w:p w14:paraId="71A0EA01" w14:textId="77777777" w:rsidR="00941D48" w:rsidRPr="00941D48" w:rsidRDefault="00941D48" w:rsidP="00941D48">
      <w:pPr>
        <w:rPr>
          <w:lang w:val="el-GR"/>
        </w:rPr>
      </w:pPr>
    </w:p>
    <w:p w14:paraId="7B5F632A" w14:textId="77777777" w:rsidR="00941D48" w:rsidRPr="00941D48" w:rsidRDefault="00941D48" w:rsidP="00941D48">
      <w:pPr>
        <w:rPr>
          <w:lang w:val="el-GR"/>
        </w:rPr>
      </w:pPr>
    </w:p>
    <w:p w14:paraId="71E30134" w14:textId="77777777" w:rsidR="00941D48" w:rsidRPr="00941D48" w:rsidRDefault="00941D48" w:rsidP="00941D48">
      <w:pPr>
        <w:rPr>
          <w:lang w:val="el-GR"/>
        </w:rPr>
      </w:pPr>
    </w:p>
    <w:p w14:paraId="4A570B6D" w14:textId="77777777" w:rsidR="00941D48" w:rsidRPr="00941D48" w:rsidRDefault="00941D48" w:rsidP="00941D48">
      <w:pPr>
        <w:rPr>
          <w:lang w:val="el-GR"/>
        </w:rPr>
      </w:pPr>
    </w:p>
    <w:p w14:paraId="22B4D301" w14:textId="77777777" w:rsidR="00941D48" w:rsidRPr="00941D48" w:rsidRDefault="00941D48" w:rsidP="00941D48">
      <w:pPr>
        <w:rPr>
          <w:lang w:val="el-GR"/>
        </w:rPr>
      </w:pPr>
    </w:p>
    <w:p w14:paraId="0746C1D2" w14:textId="77777777" w:rsidR="00941D48" w:rsidRPr="00941D48" w:rsidRDefault="00941D48" w:rsidP="00941D48">
      <w:pPr>
        <w:rPr>
          <w:lang w:val="el-GR"/>
        </w:rPr>
      </w:pPr>
    </w:p>
    <w:p w14:paraId="4A517F09" w14:textId="60567F9E" w:rsidR="00611F16" w:rsidRPr="00941D48" w:rsidRDefault="00941D48" w:rsidP="00941D48">
      <w:pPr>
        <w:tabs>
          <w:tab w:val="left" w:pos="1956"/>
        </w:tabs>
        <w:rPr>
          <w:rFonts w:ascii="Arial"/>
          <w:sz w:val="17"/>
          <w:lang w:val="el-GR"/>
        </w:rPr>
      </w:pPr>
      <w:r>
        <w:rPr>
          <w:lang w:val="el-GR"/>
        </w:rPr>
        <w:lastRenderedPageBreak/>
        <w:tab/>
      </w:r>
      <w:r w:rsidRPr="007A4F6D">
        <w:rPr>
          <w:b/>
          <w:bCs/>
          <w:noProof/>
        </w:rPr>
        <w:drawing>
          <wp:anchor distT="0" distB="0" distL="114300" distR="114300" simplePos="0" relativeHeight="251659264" behindDoc="0" locked="0" layoutInCell="1" allowOverlap="1" wp14:anchorId="10A499D3" wp14:editId="15ADF01F">
            <wp:simplePos x="0" y="0"/>
            <wp:positionH relativeFrom="column">
              <wp:posOffset>0</wp:posOffset>
            </wp:positionH>
            <wp:positionV relativeFrom="paragraph">
              <wp:posOffset>-167640</wp:posOffset>
            </wp:positionV>
            <wp:extent cx="6532423" cy="8801100"/>
            <wp:effectExtent l="0" t="0" r="1905" b="0"/>
            <wp:wrapSquare wrapText="bothSides"/>
            <wp:docPr id="1620295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95686" name=""/>
                    <pic:cNvPicPr/>
                  </pic:nvPicPr>
                  <pic:blipFill>
                    <a:blip r:embed="rId8">
                      <a:extLst>
                        <a:ext uri="{28A0092B-C50C-407E-A947-70E740481C1C}">
                          <a14:useLocalDpi xmlns:a14="http://schemas.microsoft.com/office/drawing/2010/main" val="0"/>
                        </a:ext>
                      </a:extLst>
                    </a:blip>
                    <a:stretch>
                      <a:fillRect/>
                    </a:stretch>
                  </pic:blipFill>
                  <pic:spPr>
                    <a:xfrm>
                      <a:off x="0" y="0"/>
                      <a:ext cx="6532423" cy="8801100"/>
                    </a:xfrm>
                    <a:prstGeom prst="rect">
                      <a:avLst/>
                    </a:prstGeom>
                  </pic:spPr>
                </pic:pic>
              </a:graphicData>
            </a:graphic>
          </wp:anchor>
        </w:drawing>
      </w:r>
    </w:p>
    <w:sectPr w:rsidR="00611F16" w:rsidRPr="00941D48">
      <w:headerReference w:type="first" r:id="rId9"/>
      <w:footerReference w:type="first" r:id="rId10"/>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C2D4A" w14:textId="77777777" w:rsidR="001A649A" w:rsidRDefault="001A649A">
      <w:pPr>
        <w:spacing w:after="0" w:line="240" w:lineRule="auto"/>
      </w:pPr>
      <w:r>
        <w:separator/>
      </w:r>
    </w:p>
  </w:endnote>
  <w:endnote w:type="continuationSeparator" w:id="0">
    <w:p w14:paraId="0893FC6A" w14:textId="77777777" w:rsidR="001A649A" w:rsidRDefault="001A6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DB99" w14:textId="77777777" w:rsidR="00611F16" w:rsidRDefault="00611F16">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9442E" w14:textId="77777777" w:rsidR="001A649A" w:rsidRDefault="001A649A">
      <w:pPr>
        <w:spacing w:after="0" w:line="240" w:lineRule="auto"/>
      </w:pPr>
      <w:r>
        <w:separator/>
      </w:r>
    </w:p>
  </w:footnote>
  <w:footnote w:type="continuationSeparator" w:id="0">
    <w:p w14:paraId="067E290E" w14:textId="77777777" w:rsidR="001A649A" w:rsidRDefault="001A6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BC66" w14:textId="77777777" w:rsidR="00611F16" w:rsidRDefault="00611F1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5A7E"/>
    <w:multiLevelType w:val="multilevel"/>
    <w:tmpl w:val="9CAC112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A5926CF"/>
    <w:multiLevelType w:val="hybridMultilevel"/>
    <w:tmpl w:val="372E39D6"/>
    <w:lvl w:ilvl="0" w:tplc="43CA11F6">
      <w:numFmt w:val="bullet"/>
      <w:lvlText w:val="-"/>
      <w:lvlJc w:val="left"/>
      <w:pPr>
        <w:ind w:left="799" w:hanging="360"/>
      </w:pPr>
      <w:rPr>
        <w:rFonts w:ascii="Calibri" w:eastAsia="Calibri" w:hAnsi="Calibri" w:cs="Calibri" w:hint="default"/>
        <w:b w:val="0"/>
        <w:bCs w:val="0"/>
        <w:i w:val="0"/>
        <w:iCs w:val="0"/>
        <w:spacing w:val="0"/>
        <w:w w:val="100"/>
        <w:sz w:val="22"/>
        <w:szCs w:val="22"/>
        <w:lang w:val="en-US" w:eastAsia="en-US" w:bidi="ar-SA"/>
      </w:rPr>
    </w:lvl>
    <w:lvl w:ilvl="1" w:tplc="8726610E">
      <w:numFmt w:val="bullet"/>
      <w:lvlText w:val="•"/>
      <w:lvlJc w:val="left"/>
      <w:pPr>
        <w:ind w:left="1415" w:hanging="360"/>
      </w:pPr>
      <w:rPr>
        <w:rFonts w:hint="default"/>
        <w:lang w:val="en-US" w:eastAsia="en-US" w:bidi="ar-SA"/>
      </w:rPr>
    </w:lvl>
    <w:lvl w:ilvl="2" w:tplc="F0521D62">
      <w:numFmt w:val="bullet"/>
      <w:lvlText w:val="•"/>
      <w:lvlJc w:val="left"/>
      <w:pPr>
        <w:ind w:left="2030" w:hanging="360"/>
      </w:pPr>
      <w:rPr>
        <w:rFonts w:hint="default"/>
        <w:lang w:val="en-US" w:eastAsia="en-US" w:bidi="ar-SA"/>
      </w:rPr>
    </w:lvl>
    <w:lvl w:ilvl="3" w:tplc="C09CCF54">
      <w:numFmt w:val="bullet"/>
      <w:lvlText w:val="•"/>
      <w:lvlJc w:val="left"/>
      <w:pPr>
        <w:ind w:left="2645" w:hanging="360"/>
      </w:pPr>
      <w:rPr>
        <w:rFonts w:hint="default"/>
        <w:lang w:val="en-US" w:eastAsia="en-US" w:bidi="ar-SA"/>
      </w:rPr>
    </w:lvl>
    <w:lvl w:ilvl="4" w:tplc="5164F118">
      <w:numFmt w:val="bullet"/>
      <w:lvlText w:val="•"/>
      <w:lvlJc w:val="left"/>
      <w:pPr>
        <w:ind w:left="3260" w:hanging="360"/>
      </w:pPr>
      <w:rPr>
        <w:rFonts w:hint="default"/>
        <w:lang w:val="en-US" w:eastAsia="en-US" w:bidi="ar-SA"/>
      </w:rPr>
    </w:lvl>
    <w:lvl w:ilvl="5" w:tplc="AB0C64B4">
      <w:numFmt w:val="bullet"/>
      <w:lvlText w:val="•"/>
      <w:lvlJc w:val="left"/>
      <w:pPr>
        <w:ind w:left="3875" w:hanging="360"/>
      </w:pPr>
      <w:rPr>
        <w:rFonts w:hint="default"/>
        <w:lang w:val="en-US" w:eastAsia="en-US" w:bidi="ar-SA"/>
      </w:rPr>
    </w:lvl>
    <w:lvl w:ilvl="6" w:tplc="BF7A377A">
      <w:numFmt w:val="bullet"/>
      <w:lvlText w:val="•"/>
      <w:lvlJc w:val="left"/>
      <w:pPr>
        <w:ind w:left="4490" w:hanging="360"/>
      </w:pPr>
      <w:rPr>
        <w:rFonts w:hint="default"/>
        <w:lang w:val="en-US" w:eastAsia="en-US" w:bidi="ar-SA"/>
      </w:rPr>
    </w:lvl>
    <w:lvl w:ilvl="7" w:tplc="A836A046">
      <w:numFmt w:val="bullet"/>
      <w:lvlText w:val="•"/>
      <w:lvlJc w:val="left"/>
      <w:pPr>
        <w:ind w:left="5105" w:hanging="360"/>
      </w:pPr>
      <w:rPr>
        <w:rFonts w:hint="default"/>
        <w:lang w:val="en-US" w:eastAsia="en-US" w:bidi="ar-SA"/>
      </w:rPr>
    </w:lvl>
    <w:lvl w:ilvl="8" w:tplc="12CCA02C">
      <w:numFmt w:val="bullet"/>
      <w:lvlText w:val="•"/>
      <w:lvlJc w:val="left"/>
      <w:pPr>
        <w:ind w:left="5720" w:hanging="360"/>
      </w:pPr>
      <w:rPr>
        <w:rFonts w:hint="default"/>
        <w:lang w:val="en-US" w:eastAsia="en-US" w:bidi="ar-SA"/>
      </w:rPr>
    </w:lvl>
  </w:abstractNum>
  <w:num w:numId="1" w16cid:durableId="313729985">
    <w:abstractNumId w:val="0"/>
  </w:num>
  <w:num w:numId="2" w16cid:durableId="96952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F16"/>
    <w:rsid w:val="001A649A"/>
    <w:rsid w:val="00611F16"/>
    <w:rsid w:val="00941D48"/>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A8FB0"/>
  <w15:docId w15:val="{0394EB6A-DD67-4F8D-BB1E-84140B9D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42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semiHidden/>
    <w:rsid w:val="00426F7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table" w:styleId="TableGrid">
    <w:name w:val="Table Grid"/>
    <w:basedOn w:val="TableNormal"/>
    <w:uiPriority w:val="39"/>
    <w:rsid w:val="001B7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DB0C16"/>
    <w:pPr>
      <w:ind w:left="720"/>
      <w:contextualSpacing/>
    </w:pPr>
  </w:style>
  <w:style w:type="table" w:customStyle="1" w:styleId="a1">
    <w:basedOn w:val="TableNormal1"/>
    <w:pPr>
      <w:spacing w:after="0" w:line="240" w:lineRule="auto"/>
    </w:pPr>
    <w:tblPr>
      <w:tblStyleRowBandSize w:val="1"/>
      <w:tblStyleColBandSize w:val="1"/>
      <w:tblCellMar>
        <w:left w:w="115" w:type="dxa"/>
        <w:right w:w="115" w:type="dxa"/>
      </w:tblCellMar>
    </w:tblPr>
  </w:style>
  <w:style w:type="table" w:customStyle="1" w:styleId="a2">
    <w:basedOn w:val="TableNormal1"/>
    <w:pPr>
      <w:spacing w:after="0" w:line="240" w:lineRule="auto"/>
    </w:pPr>
    <w:tblPr>
      <w:tblStyleRowBandSize w:val="1"/>
      <w:tblStyleColBandSize w:val="1"/>
      <w:tblCellMar>
        <w:left w:w="115" w:type="dxa"/>
        <w:right w:w="115" w:type="dxa"/>
      </w:tblCellMar>
    </w:tblPr>
  </w:style>
  <w:style w:type="paragraph" w:styleId="BodyText">
    <w:name w:val="Body Text"/>
    <w:basedOn w:val="Normal"/>
    <w:link w:val="BodyTextChar"/>
    <w:uiPriority w:val="1"/>
    <w:qFormat/>
    <w:rsid w:val="00941D48"/>
    <w:pPr>
      <w:widowControl w:val="0"/>
      <w:autoSpaceDE w:val="0"/>
      <w:autoSpaceDN w:val="0"/>
      <w:spacing w:after="0" w:line="240" w:lineRule="auto"/>
    </w:pPr>
    <w:rPr>
      <w:sz w:val="24"/>
      <w:szCs w:val="24"/>
      <w:lang w:val="en-US" w:eastAsia="en-US"/>
    </w:rPr>
  </w:style>
  <w:style w:type="character" w:customStyle="1" w:styleId="BodyTextChar">
    <w:name w:val="Body Text Char"/>
    <w:basedOn w:val="DefaultParagraphFont"/>
    <w:link w:val="BodyText"/>
    <w:uiPriority w:val="1"/>
    <w:rsid w:val="00941D48"/>
    <w:rPr>
      <w:sz w:val="24"/>
      <w:szCs w:val="24"/>
      <w:lang w:val="en-US" w:eastAsia="en-US"/>
    </w:rPr>
  </w:style>
  <w:style w:type="paragraph" w:customStyle="1" w:styleId="TableParagraph">
    <w:name w:val="Table Paragraph"/>
    <w:basedOn w:val="Normal"/>
    <w:uiPriority w:val="1"/>
    <w:qFormat/>
    <w:rsid w:val="00941D48"/>
    <w:pPr>
      <w:widowControl w:val="0"/>
      <w:autoSpaceDE w:val="0"/>
      <w:autoSpaceDN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9yVkK6OluSvrxhHJaVXIEu5H7g==">CgMxLjAyCGguZ2pkZ3hzOAByITF3RGc5MTZELVNPQXhGVHRZVGVTYWN5RGdyQTBkRUU0OQ==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746</Words>
  <Characters>4254</Characters>
  <Application>Microsoft Office Word</Application>
  <DocSecurity>0</DocSecurity>
  <Lines>35</Lines>
  <Paragraphs>9</Paragraphs>
  <ScaleCrop>false</ScaleCrop>
  <Company>HP Inc.</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dcterms:created xsi:type="dcterms:W3CDTF">2023-02-14T11:33:00Z</dcterms:created>
  <dcterms:modified xsi:type="dcterms:W3CDTF">2024-03-04T11:52:00Z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1cb727aabd390b3e2ebda3ce507f16045b677692797dc8721f6ccdf2ece3ad04</vt:lpwstr>
  </property>
</Properties>
</file>