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editId="05C1F0F0" wp14:anchorId="0F961BAF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B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6CF9C64B" wp14:anchorId="11178A52">
                <wp:simplePos x="0" y="0"/>
                <wp:positionH relativeFrom="margin">
                  <wp:posOffset>1943735</wp:posOffset>
                </wp:positionH>
                <wp:positionV relativeFrom="paragraph">
                  <wp:posOffset>1617980</wp:posOffset>
                </wp:positionV>
                <wp:extent cx="4025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Budowanie kompetencji wielojęzycznych poprzez sport</w:t>
                            </w:r>
                          </w:p>
                          <w:p xmlns:a="http://schemas.openxmlformats.org/drawingml/2006/main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02C2" w:rsidR="00EC735C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Podręcznik dla </w:t>
                            </w: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dorosłych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178A52">
                <v:stroke joinstyle="miter"/>
                <v:path gradientshapeok="t" o:connecttype="rect"/>
              </v:shapetype>
              <v:shape id="Text Box 2" style="position:absolute;margin-left:153.05pt;margin-top:127.4pt;width:3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j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">
                <v:textbox style="mso-fit-shape-to-text:t">
                  <w:txbxContent>
                    <w:p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Budowanie kompetencji wielojęzycznych poprzez sport</w:t>
                      </w:r>
                    </w:p>
                    <w:p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02C2" w:rsidR="00EC735C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Podręcznik dla </w:t>
                      </w: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dorosłych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>
      <w:pPr>
        <w:pStyle w:val="Heading2"/>
        <w:tabs>
          <w:tab w:val="left" w:pos="5341"/>
        </w:tabs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pos="5341"/>
        </w:tabs>
        <w:rPr>
          <w:rFonts w:hint="eastAsia" w:ascii="Segoe UI Bold" w:hAnsi="Segoe UI Bold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 xml:space="preserve">Podręcznik dla nauczycieli dorosłych </w:t>
      </w:r>
    </w:p>
    <w:p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Plan lekcji</w:t>
      </w:r>
    </w:p>
    <w:p>
      <w:pPr>
        <w:rPr>
          <w:rFonts w:eastAsia="Times New Roman" w:cstheme="minorHAnsi"/>
          <w:color w:val="000000"/>
          <w:sz w:val="24"/>
          <w:szCs w:val="24"/>
        </w:rPr>
      </w:pPr>
      <w:r w:rsidRPr="00490817">
        <w:rPr>
          <w:rFonts w:eastAsia="Times New Roman" w:cstheme="minorHAnsi"/>
          <w:color w:val="000000"/>
          <w:sz w:val="24"/>
          <w:szCs w:val="24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>
      <w:pPr>
        <w:rPr>
          <w:rFonts w:cstheme="minorHAnsi"/>
          <w:i/>
          <w:iCs/>
          <w:color w:val="000000"/>
          <w:sz w:val="24"/>
          <w:szCs w:val="24"/>
        </w:rPr>
      </w:pPr>
      <w:r w:rsidRPr="00490817">
        <w:rPr>
          <w:rFonts w:cstheme="minorHAnsi"/>
          <w:color w:val="000000"/>
          <w:sz w:val="24"/>
          <w:szCs w:val="24"/>
        </w:rPr>
        <w:t xml:space="preserve">Temat niniejszego </w:t>
      </w:r>
      <w:r w:rsidRPr="00490817" w:rsidR="00DE1D9F">
        <w:rPr>
          <w:rFonts w:cstheme="minorHAnsi"/>
          <w:i/>
          <w:iCs/>
          <w:color w:val="000000"/>
          <w:sz w:val="24"/>
          <w:szCs w:val="24"/>
        </w:rPr>
        <w:t xml:space="preserve">podręcznika</w:t>
      </w:r>
      <w:r w:rsidRPr="00490817">
        <w:rPr>
          <w:rFonts w:cstheme="minorHAnsi"/>
          <w:color w:val="000000"/>
          <w:sz w:val="24"/>
          <w:szCs w:val="24"/>
        </w:rPr>
        <w:t xml:space="preserve"> odnosi się do zasobów wideo </w:t>
      </w:r>
      <w:r w:rsidRPr="00490817" w:rsidR="00DE1D9F">
        <w:rPr>
          <w:rFonts w:cstheme="minorHAnsi"/>
          <w:i/>
          <w:iCs/>
          <w:color w:val="000000"/>
          <w:sz w:val="24"/>
          <w:szCs w:val="24"/>
        </w:rPr>
        <w:t xml:space="preserve">Budowanie </w:t>
      </w:r>
      <w:r w:rsidRPr="00490817" w:rsidR="00DE1D9F">
        <w:rPr>
          <w:rFonts w:cstheme="minorHAnsi"/>
          <w:i/>
          <w:iCs/>
          <w:color w:val="000000"/>
          <w:sz w:val="24"/>
          <w:szCs w:val="24"/>
        </w:rPr>
        <w:t xml:space="preserve">kompetencji </w:t>
      </w:r>
      <w:r w:rsidRPr="00490817" w:rsidR="00FD796B">
        <w:rPr>
          <w:rFonts w:cstheme="minorHAnsi"/>
          <w:i/>
          <w:iCs/>
          <w:color w:val="000000"/>
          <w:sz w:val="24"/>
          <w:szCs w:val="24"/>
        </w:rPr>
        <w:t xml:space="preserve">wielojęzycznych </w:t>
      </w:r>
      <w:r w:rsidRPr="00490817" w:rsidR="00DE1D9F">
        <w:rPr>
          <w:rFonts w:cstheme="minorHAnsi"/>
          <w:i/>
          <w:iCs/>
          <w:color w:val="000000"/>
          <w:sz w:val="24"/>
          <w:szCs w:val="24"/>
        </w:rPr>
        <w:t xml:space="preserve">poprzez </w:t>
      </w:r>
      <w:r w:rsidRPr="00490817" w:rsidR="00FD796B">
        <w:rPr>
          <w:rFonts w:cstheme="minorHAnsi"/>
          <w:i/>
          <w:iCs/>
          <w:color w:val="000000"/>
          <w:sz w:val="24"/>
          <w:szCs w:val="24"/>
        </w:rPr>
        <w:t xml:space="preserve">sport i hobby.</w:t>
      </w:r>
    </w:p>
    <w:p w:rsidRPr="00C642B8" w:rsidR="00C642B8" w:rsidP="00C10ADC" w:rsidRDefault="00C642B8" w14:paraId="4F734EA7" w14:textId="77777777">
      <w:pPr>
        <w:rPr>
          <w:rFonts w:ascii="Segoe UI" w:hAnsi="Segoe UI" w:cs="Segoe UI"/>
          <w:i/>
          <w:iCs/>
          <w:color w:val="000000"/>
          <w:sz w:val="24"/>
          <w:szCs w:val="24"/>
        </w:rPr>
      </w:pPr>
    </w:p>
    <w:p>
      <w:pPr>
        <w:pStyle w:val="Heading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Wprowadzenie do tematu </w:t>
      </w:r>
    </w:p>
    <w:p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Wykorzystanie sportu i hobby danej osoby </w:t>
      </w:r>
      <w:r w:rsidRPr="00490817" w:rsidR="00FD796B">
        <w:rPr>
          <w:rFonts w:cstheme="minorHAnsi"/>
          <w:sz w:val="24"/>
          <w:szCs w:val="24"/>
        </w:rPr>
        <w:t xml:space="preserve">jest fantastycznym medium do nauczania </w:t>
      </w:r>
      <w:r w:rsidRPr="00490817">
        <w:rPr>
          <w:rFonts w:cstheme="minorHAnsi"/>
          <w:sz w:val="24"/>
          <w:szCs w:val="24"/>
        </w:rPr>
        <w:t xml:space="preserve">umiejętności językowych</w:t>
      </w:r>
      <w:r w:rsidR="00A14454">
        <w:rPr>
          <w:rFonts w:cstheme="minorHAnsi"/>
          <w:sz w:val="24"/>
          <w:szCs w:val="24"/>
        </w:rPr>
        <w:t xml:space="preserve">, </w:t>
      </w:r>
      <w:r w:rsidRPr="00490817" w:rsidR="00FD796B">
        <w:rPr>
          <w:rFonts w:cstheme="minorHAnsi"/>
          <w:sz w:val="24"/>
          <w:szCs w:val="24"/>
        </w:rPr>
        <w:t xml:space="preserve">szczególnie dla uczniów, którym może brakować pewności siebie w tym obszarze. Dzięki zasobom One-Step Up uczniowie mogą dowiedzieć się, w jaki sposób te materiały edukacyjne mogą pozytywnie wpłynąć na ich </w:t>
      </w:r>
      <w:r w:rsidRPr="00490817" w:rsidR="00FD796B">
        <w:rPr>
          <w:rFonts w:cstheme="minorHAnsi"/>
          <w:sz w:val="24"/>
          <w:szCs w:val="24"/>
        </w:rPr>
        <w:t xml:space="preserve">umiejętności </w:t>
      </w:r>
      <w:r w:rsidRPr="00490817">
        <w:rPr>
          <w:rFonts w:cstheme="minorHAnsi"/>
          <w:sz w:val="24"/>
          <w:szCs w:val="24"/>
        </w:rPr>
        <w:t xml:space="preserve">wielojęzyczne </w:t>
      </w:r>
      <w:r w:rsidRPr="00490817" w:rsidR="00FD796B">
        <w:rPr>
          <w:rFonts w:cstheme="minorHAnsi"/>
          <w:sz w:val="24"/>
          <w:szCs w:val="24"/>
        </w:rPr>
        <w:t xml:space="preserve">i jak mogą je wykorzystać, aby poczuć się pewniej w swoich umiejętnościach. Niezależnie od tego, czy są </w:t>
      </w:r>
      <w:r w:rsidRPr="00490817" w:rsidR="00FD796B">
        <w:rPr>
          <w:rFonts w:cstheme="minorHAnsi"/>
          <w:sz w:val="24"/>
          <w:szCs w:val="24"/>
        </w:rPr>
        <w:t xml:space="preserve">entuzjastami tańca, fanami muzyki </w:t>
      </w:r>
      <w:r w:rsidRPr="00490817" w:rsidR="00FD796B">
        <w:rPr>
          <w:rFonts w:cstheme="minorHAnsi"/>
          <w:sz w:val="24"/>
          <w:szCs w:val="24"/>
        </w:rPr>
        <w:t xml:space="preserve">czy początkującymi </w:t>
      </w:r>
      <w:r w:rsidRPr="00490817">
        <w:rPr>
          <w:rFonts w:cstheme="minorHAnsi"/>
          <w:sz w:val="24"/>
          <w:szCs w:val="24"/>
        </w:rPr>
        <w:t xml:space="preserve">gwiazdami sportu, mogą być </w:t>
      </w:r>
      <w:r w:rsidRPr="00490817" w:rsidR="00FD796B">
        <w:rPr>
          <w:rFonts w:cstheme="minorHAnsi"/>
          <w:sz w:val="24"/>
          <w:szCs w:val="24"/>
        </w:rPr>
        <w:t xml:space="preserve">prowadzeni do odkrywania, w jaki sposób różne formy </w:t>
      </w:r>
      <w:r w:rsidRPr="00490817">
        <w:rPr>
          <w:rFonts w:cstheme="minorHAnsi"/>
          <w:sz w:val="24"/>
          <w:szCs w:val="24"/>
        </w:rPr>
        <w:t xml:space="preserve">sportu i hobby mogą być wykorzystywane </w:t>
      </w:r>
      <w:r w:rsidRPr="00490817" w:rsidR="00FD796B">
        <w:rPr>
          <w:rFonts w:cstheme="minorHAnsi"/>
          <w:sz w:val="24"/>
          <w:szCs w:val="24"/>
        </w:rPr>
        <w:t xml:space="preserve">do poprawy ich </w:t>
      </w:r>
      <w:r w:rsidRPr="00490817" w:rsidR="00FD796B">
        <w:rPr>
          <w:rFonts w:cstheme="minorHAnsi"/>
          <w:sz w:val="24"/>
          <w:szCs w:val="24"/>
        </w:rPr>
        <w:t xml:space="preserve">umiejętności </w:t>
      </w:r>
      <w:r w:rsidRPr="00490817">
        <w:rPr>
          <w:rFonts w:cstheme="minorHAnsi"/>
          <w:sz w:val="24"/>
          <w:szCs w:val="24"/>
        </w:rPr>
        <w:t xml:space="preserve">językowych.</w:t>
      </w:r>
    </w:p>
    <w:p w:rsidRPr="00C642B8" w:rsidR="00C642B8" w:rsidP="00C642B8" w:rsidRDefault="00C642B8" w14:paraId="0BDE0541" w14:textId="77777777">
      <w:pPr>
        <w:rPr>
          <w:rFonts w:ascii="Segoe UI" w:hAnsi="Segoe UI" w:cs="Segoe UI"/>
          <w:sz w:val="24"/>
          <w:szCs w:val="24"/>
        </w:rPr>
      </w:pPr>
    </w:p>
    <w:p>
      <w:pPr>
        <w:pStyle w:val="Heading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Wprowadzenie do działania </w:t>
      </w:r>
    </w:p>
    <w:p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Korzystając ze studium przypadku </w:t>
      </w:r>
      <w:r w:rsidRPr="00490817">
        <w:rPr>
          <w:rFonts w:cstheme="minorHAnsi"/>
          <w:i/>
          <w:iCs/>
          <w:sz w:val="24"/>
          <w:szCs w:val="24"/>
        </w:rPr>
        <w:t xml:space="preserve">Coláiste </w:t>
      </w:r>
      <w:r w:rsidRPr="00490817">
        <w:rPr>
          <w:rFonts w:cstheme="minorHAnsi"/>
          <w:i/>
          <w:iCs/>
          <w:sz w:val="24"/>
          <w:szCs w:val="24"/>
        </w:rPr>
        <w:t xml:space="preserve">Uisce</w:t>
      </w:r>
      <w:r w:rsidRPr="00490817">
        <w:rPr>
          <w:rFonts w:cstheme="minorHAnsi"/>
          <w:sz w:val="24"/>
          <w:szCs w:val="24"/>
        </w:rPr>
        <w:t xml:space="preserve">, uczniowie zapoznają się z innowacyjnym i integracyjnym </w:t>
      </w:r>
      <w:r w:rsidR="00A14454">
        <w:rPr>
          <w:rFonts w:cstheme="minorHAnsi"/>
          <w:sz w:val="24"/>
          <w:szCs w:val="24"/>
        </w:rPr>
        <w:t xml:space="preserve">studium przypadku irlandzkiej inicjatywy, która promuje naukę języka poprzez sport i hobby. Stanowi to przykład inicjatywy, która ma na celu pomóc </w:t>
      </w:r>
      <w:r w:rsidRPr="00490817">
        <w:rPr>
          <w:rFonts w:cstheme="minorHAnsi"/>
          <w:sz w:val="24"/>
          <w:szCs w:val="24"/>
        </w:rPr>
        <w:t xml:space="preserve">młodym ludziom poprawić ich umiejętności wielojęzyczne w zabawnym </w:t>
      </w:r>
      <w:r w:rsidR="00A14454">
        <w:rPr>
          <w:rFonts w:cstheme="minorHAnsi"/>
          <w:sz w:val="24"/>
          <w:szCs w:val="24"/>
        </w:rPr>
        <w:t xml:space="preserve">i </w:t>
      </w:r>
      <w:r w:rsidRPr="00490817">
        <w:rPr>
          <w:rFonts w:cstheme="minorHAnsi"/>
          <w:sz w:val="24"/>
          <w:szCs w:val="24"/>
        </w:rPr>
        <w:t xml:space="preserve">zrelaksowanym środowisku</w:t>
      </w:r>
      <w:r w:rsidR="00A14454">
        <w:rPr>
          <w:rFonts w:cstheme="minorHAnsi"/>
          <w:sz w:val="24"/>
          <w:szCs w:val="24"/>
        </w:rPr>
        <w:t xml:space="preserve">, które </w:t>
      </w:r>
      <w:r w:rsidRPr="00490817">
        <w:rPr>
          <w:rFonts w:cstheme="minorHAnsi"/>
          <w:sz w:val="24"/>
          <w:szCs w:val="24"/>
        </w:rPr>
        <w:t xml:space="preserve">jest dla nich wygodne. Uczniowie mają również szansę wypróbować "</w:t>
      </w:r>
      <w:r w:rsidRPr="00A14454" w:rsidR="00490817">
        <w:rPr>
          <w:rFonts w:cstheme="minorHAnsi"/>
          <w:i/>
          <w:iCs/>
          <w:sz w:val="24"/>
          <w:szCs w:val="24"/>
        </w:rPr>
        <w:t xml:space="preserve">Olimpiadę językową</w:t>
      </w:r>
      <w:r w:rsidRPr="00A14454">
        <w:rPr>
          <w:rFonts w:cstheme="minorHAnsi"/>
          <w:i/>
          <w:iCs/>
          <w:sz w:val="24"/>
          <w:szCs w:val="24"/>
        </w:rPr>
        <w:t xml:space="preserve">"</w:t>
      </w:r>
      <w:r w:rsidRPr="00490817">
        <w:rPr>
          <w:rFonts w:cstheme="minorHAnsi"/>
          <w:sz w:val="24"/>
          <w:szCs w:val="24"/>
        </w:rPr>
        <w:t xml:space="preserve">, która zachęci ich do korzystania z </w:t>
      </w:r>
      <w:r w:rsidRPr="00490817">
        <w:rPr>
          <w:rFonts w:cstheme="minorHAnsi"/>
          <w:sz w:val="24"/>
          <w:szCs w:val="24"/>
        </w:rPr>
        <w:t xml:space="preserve">umiejętności </w:t>
      </w:r>
      <w:r w:rsidRPr="00490817" w:rsidR="00490817">
        <w:rPr>
          <w:rFonts w:cstheme="minorHAnsi"/>
          <w:sz w:val="24"/>
          <w:szCs w:val="24"/>
        </w:rPr>
        <w:t xml:space="preserve">wielojęzycznych </w:t>
      </w:r>
      <w:r w:rsidRPr="00490817" w:rsidR="00490817">
        <w:rPr>
          <w:rFonts w:cstheme="minorHAnsi"/>
          <w:sz w:val="24"/>
          <w:szCs w:val="24"/>
        </w:rPr>
        <w:t xml:space="preserve">podczas próbowania różnych </w:t>
      </w:r>
      <w:r w:rsidR="00A14454">
        <w:rPr>
          <w:rFonts w:cstheme="minorHAnsi"/>
          <w:sz w:val="24"/>
          <w:szCs w:val="24"/>
        </w:rPr>
        <w:t xml:space="preserve">dyscyplin sportowych, </w:t>
      </w:r>
      <w:r w:rsidR="00A14454">
        <w:rPr>
          <w:rFonts w:cstheme="minorHAnsi"/>
          <w:sz w:val="24"/>
          <w:szCs w:val="24"/>
        </w:rPr>
        <w:t xml:space="preserve">takich jak </w:t>
      </w:r>
      <w:r w:rsidRPr="00490817" w:rsidR="00490817">
        <w:rPr>
          <w:rFonts w:cstheme="minorHAnsi"/>
          <w:sz w:val="24"/>
          <w:szCs w:val="24"/>
        </w:rPr>
        <w:t xml:space="preserve">tenis, piłka nożna, koszykówka </w:t>
      </w:r>
      <w:r w:rsidRPr="00490817" w:rsidR="00490817">
        <w:rPr>
          <w:rFonts w:cstheme="minorHAnsi"/>
          <w:sz w:val="24"/>
          <w:szCs w:val="24"/>
        </w:rPr>
        <w:t xml:space="preserve">i badminton. </w:t>
      </w:r>
      <w:r w:rsidRPr="00490817">
        <w:rPr>
          <w:rFonts w:cstheme="minorHAnsi"/>
          <w:sz w:val="24"/>
          <w:szCs w:val="24"/>
        </w:rPr>
        <w:t xml:space="preserve">Zademonstruje to, w </w:t>
      </w:r>
      <w:r w:rsidR="00A14454">
        <w:rPr>
          <w:rFonts w:cstheme="minorHAnsi"/>
          <w:sz w:val="24"/>
          <w:szCs w:val="24"/>
        </w:rPr>
        <w:t xml:space="preserve">jaki sposób </w:t>
      </w:r>
      <w:r w:rsidRPr="00490817" w:rsidR="00490817">
        <w:rPr>
          <w:rFonts w:cstheme="minorHAnsi"/>
          <w:sz w:val="24"/>
          <w:szCs w:val="24"/>
        </w:rPr>
        <w:t xml:space="preserve">uprawianie sportu i ćwiczenie umiejętności językowych </w:t>
      </w:r>
      <w:r w:rsidRPr="00490817">
        <w:rPr>
          <w:rFonts w:cstheme="minorHAnsi"/>
          <w:sz w:val="24"/>
          <w:szCs w:val="24"/>
        </w:rPr>
        <w:t xml:space="preserve">może być zabawne i wciągające.</w:t>
      </w:r>
    </w:p>
    <w:p w:rsidR="00490817" w:rsidP="00C642B8" w:rsidRDefault="00490817" w14:paraId="4AEE8DF3" w14:textId="77777777">
      <w:pPr>
        <w:pStyle w:val="Heading2"/>
        <w:rPr>
          <w:rFonts w:ascii="Segoe UI" w:hAnsi="Segoe UI" w:cs="Segoe UI"/>
          <w:sz w:val="24"/>
          <w:szCs w:val="24"/>
        </w:rPr>
      </w:pPr>
    </w:p>
    <w:p>
      <w:pPr>
        <w:pStyle w:val="Heading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Korzystanie z tego zasobu z grupą </w:t>
      </w:r>
    </w:p>
    <w:p>
      <w:pPr>
        <w:shd w:val="clear" w:color="auto" w:fill="FFFFFF"/>
        <w:spacing w:after="225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90817">
        <w:rPr>
          <w:rFonts w:eastAsia="Times New Roman" w:cstheme="minorHAnsi"/>
          <w:color w:val="000000"/>
          <w:sz w:val="24"/>
          <w:szCs w:val="24"/>
        </w:rPr>
        <w:t xml:space="preserve">Aby korzystać z tego zasobu z dorosłymi uczniami w lokalnej grupie, zalecamy rozpoczęcie od pokazania im materiału wideo w celu wprowadzenia tematu </w:t>
      </w:r>
      <w:r w:rsidRPr="00490817" w:rsidR="00490817">
        <w:rPr>
          <w:rFonts w:eastAsia="Times New Roman" w:cstheme="minorHAnsi"/>
          <w:i/>
          <w:iCs/>
          <w:color w:val="000000"/>
          <w:sz w:val="24"/>
          <w:szCs w:val="24"/>
        </w:rPr>
        <w:t xml:space="preserve">Budowanie kompetencji wielojęzycznych poprzez sport i hobby. </w:t>
      </w:r>
      <w:r w:rsidRPr="00490817">
        <w:rPr>
          <w:rFonts w:eastAsia="Times New Roman" w:cstheme="minorHAnsi"/>
          <w:color w:val="000000"/>
          <w:sz w:val="24"/>
          <w:szCs w:val="24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 </w:t>
      </w:r>
      <w:r w:rsidRPr="00490817" w:rsidR="00490817">
        <w:rPr>
          <w:rFonts w:eastAsia="Times New Roman" w:cstheme="minorHAnsi"/>
          <w:color w:val="000000"/>
          <w:sz w:val="24"/>
          <w:szCs w:val="24"/>
        </w:rPr>
        <w:t xml:space="preserve">Aby ocenić wiedzę uczniów, sugerujemy zakończenie sesji </w:t>
      </w:r>
      <w:r w:rsidRPr="00490817" w:rsidR="00490817">
        <w:rPr>
          <w:rFonts w:eastAsia="Times New Roman" w:cstheme="minorHAnsi"/>
          <w:color w:val="000000"/>
          <w:sz w:val="24"/>
          <w:szCs w:val="24"/>
        </w:rPr>
        <w:t xml:space="preserve">quizem </w:t>
      </w:r>
      <w:r w:rsidRPr="00A14454" w:rsidR="00A14454">
        <w:rPr>
          <w:rFonts w:eastAsia="Times New Roman" w:cstheme="minorHAnsi"/>
          <w:i/>
          <w:iCs/>
          <w:color w:val="000000"/>
          <w:sz w:val="24"/>
          <w:szCs w:val="24"/>
        </w:rPr>
        <w:t xml:space="preserve">Budowanie kompetencji wielojęzycznych poprzez sport i hobby.</w:t>
      </w:r>
      <w:r w:rsidRPr="00490817" w:rsidR="00490817">
        <w:rPr>
          <w:rFonts w:eastAsia="Times New Roman" w:cstheme="minorHAnsi"/>
          <w:color w:val="000000"/>
          <w:sz w:val="24"/>
          <w:szCs w:val="24"/>
        </w:rPr>
        <w:t xml:space="preserve"> Może to pomóc uczniom ocenić, czego nauczyli się dzięki zasobom ONE-STEP UP.</w:t>
      </w:r>
    </w:p>
    <w:p>
      <w:pPr>
        <w:pStyle w:val="Heading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Pytania podsumowujące</w:t>
      </w:r>
    </w:p>
    <w:p w:rsidR="00490817" w:rsidP="00490817" w:rsidRDefault="00490817" w14:paraId="63CBF162" w14:textId="77777777">
      <w:pPr>
        <w:rPr>
          <w:rFonts w:ascii="Segoe UI" w:hAnsi="Segoe UI" w:cs="Segoe U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Oto kilka pytań podsumowujących, nad którymi uczestnicy mogą się zastanowić po zakończeniu studium przypadku i ćwiczenia:</w:t>
      </w:r>
    </w:p>
    <w:p>
      <w:pPr>
        <w:pStyle w:val="ListParagraph"/>
        <w:numPr>
          <w:ilvl w:val="0"/>
          <w:numId w:val="2"/>
        </w:numPr>
        <w:spacing w:line="360" w:lineRule="auto"/>
        <w:ind w:star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Czego dowiedziałeś się o </w:t>
      </w:r>
      <w:r w:rsidRPr="00490817">
        <w:rPr>
          <w:rFonts w:cstheme="minorHAnsi"/>
          <w:sz w:val="24"/>
          <w:szCs w:val="24"/>
        </w:rPr>
        <w:t xml:space="preserve">Colaiste </w:t>
      </w:r>
      <w:r w:rsidRPr="00490817">
        <w:rPr>
          <w:rFonts w:cstheme="minorHAnsi"/>
          <w:sz w:val="24"/>
          <w:szCs w:val="24"/>
        </w:rPr>
        <w:t xml:space="preserve">Uisce</w:t>
      </w:r>
      <w:r w:rsidRPr="00490817">
        <w:rPr>
          <w:rFonts w:cstheme="minorHAnsi"/>
          <w:sz w:val="24"/>
          <w:szCs w:val="24"/>
        </w:rPr>
        <w:t xml:space="preserve">?</w:t>
      </w:r>
    </w:p>
    <w:p>
      <w:pPr>
        <w:pStyle w:val="ListParagraph"/>
        <w:numPr>
          <w:ilvl w:val="0"/>
          <w:numId w:val="2"/>
        </w:numPr>
        <w:spacing w:line="360" w:lineRule="auto"/>
        <w:ind w:star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Jak myślisz, co jest kluczem do ich sukcesu?</w:t>
      </w:r>
    </w:p>
    <w:p>
      <w:pPr>
        <w:pStyle w:val="ListParagraph"/>
        <w:numPr>
          <w:ilvl w:val="0"/>
          <w:numId w:val="2"/>
        </w:numPr>
        <w:spacing w:line="360" w:lineRule="auto"/>
        <w:ind w:star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Jaki jest jeden kluczowy wniosek, który wyniesiesz z tego studium przypadku i ćwiczenia? Jak zastosujesz je we własnym życiu lub pracy?</w:t>
      </w:r>
    </w:p>
    <w:p>
      <w:pPr>
        <w:pStyle w:val="ListParagraph"/>
        <w:numPr>
          <w:ilvl w:val="0"/>
          <w:numId w:val="2"/>
        </w:numPr>
        <w:spacing w:line="360" w:lineRule="auto"/>
        <w:ind w:star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Jak Ci się podobało </w:t>
      </w:r>
      <w:r w:rsidRPr="00490817">
        <w:rPr>
          <w:rFonts w:cstheme="minorHAnsi"/>
          <w:sz w:val="24"/>
          <w:szCs w:val="24"/>
        </w:rPr>
        <w:t xml:space="preserve">ćwiczenie </w:t>
      </w:r>
      <w:r w:rsidRPr="00490817">
        <w:rPr>
          <w:rFonts w:cstheme="minorHAnsi"/>
          <w:sz w:val="24"/>
          <w:szCs w:val="24"/>
        </w:rPr>
        <w:t xml:space="preserve">"</w:t>
      </w:r>
      <w:r w:rsidRPr="00A14454">
        <w:rPr>
          <w:rFonts w:cstheme="minorHAnsi"/>
          <w:i/>
          <w:iCs/>
          <w:sz w:val="24"/>
          <w:szCs w:val="24"/>
        </w:rPr>
        <w:t xml:space="preserve">Olimpiada językowa"?</w:t>
      </w:r>
      <w:r w:rsidRPr="00490817">
        <w:rPr>
          <w:rFonts w:cstheme="minorHAnsi"/>
          <w:sz w:val="24"/>
          <w:szCs w:val="24"/>
        </w:rPr>
        <w:t xml:space="preserve"> Czy okazała się pomocna w doskonaleniu umiejętności językowych?</w:t>
      </w:r>
    </w:p>
    <w:p>
      <w:pPr>
        <w:pStyle w:val="ListParagraph"/>
        <w:numPr>
          <w:ilvl w:val="0"/>
          <w:numId w:val="2"/>
        </w:numPr>
        <w:spacing w:line="360" w:lineRule="auto"/>
        <w:ind w:star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Jak myślisz, w jaki sposób można włączyć sport i hobby do tradycyjnego systemu edukacji lub </w:t>
      </w:r>
      <w:r w:rsidR="00A14454">
        <w:rPr>
          <w:rFonts w:cstheme="minorHAnsi"/>
          <w:sz w:val="24"/>
          <w:szCs w:val="24"/>
        </w:rPr>
        <w:t xml:space="preserve">programu </w:t>
      </w:r>
      <w:r w:rsidRPr="00490817">
        <w:rPr>
          <w:rFonts w:cstheme="minorHAnsi"/>
          <w:sz w:val="24"/>
          <w:szCs w:val="24"/>
        </w:rPr>
        <w:t xml:space="preserve">szkoleniowego </w:t>
      </w:r>
      <w:r w:rsidRPr="00490817">
        <w:rPr>
          <w:rFonts w:cstheme="minorHAnsi"/>
          <w:sz w:val="24"/>
          <w:szCs w:val="24"/>
        </w:rPr>
        <w:t xml:space="preserve">w celu poprawy umiejętności językowych?</w:t>
      </w:r>
    </w:p>
    <w:p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editId="059B5296" wp14:anchorId="0799F257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  <w:r w:rsidR="003D7765">
        <w:rPr>
          <w:rFonts w:ascii="Source Sans Pro" w:hAnsi="Source Sans Pro" w:cstheme="minorHAnsi"/>
          <w:color w:val="000000"/>
          <w:szCs w:val="21"/>
        </w:rPr>
      </w:r>
    </w:p>
    <w:sectPr w:rsidRPr="00E9484B" w:rsidR="00426F7D" w:rsidSect="00AD1672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610" w:rsidP="002B6AE4" w:rsidRDefault="005A7610" w14:paraId="622BCE2E" w14:textId="77777777">
      <w:pPr>
        <w:spacing w:after="0" w:line="240" w:lineRule="auto"/>
      </w:pPr>
      <w:r>
        <w:separator/>
      </w:r>
    </w:p>
  </w:endnote>
  <w:endnote w:type="continuationSeparator" w:id="0">
    <w:p w:rsidR="005A7610" w:rsidP="002B6AE4" w:rsidRDefault="005A7610" w14:paraId="013586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72" w:rsidP="00426F7D" w:rsidRDefault="00AD1672" w14:paraId="56294EF6" w14:textId="753AA74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610" w:rsidP="002B6AE4" w:rsidRDefault="005A7610" w14:paraId="08A27402" w14:textId="77777777">
      <w:pPr>
        <w:spacing w:after="0" w:line="240" w:lineRule="auto"/>
      </w:pPr>
      <w:r>
        <w:separator/>
      </w:r>
    </w:p>
  </w:footnote>
  <w:footnote w:type="continuationSeparator" w:id="0">
    <w:p w:rsidR="005A7610" w:rsidP="002B6AE4" w:rsidRDefault="005A7610" w14:paraId="1FDC32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DC" w:rsidRDefault="00C10ADC" w14:paraId="56D11FC8" w14:textId="35E2B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3C9"/>
    <w:multiLevelType w:val="hybridMultilevel"/>
    <w:tmpl w:val="7E5A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726"/>
    <w:multiLevelType w:val="hybridMultilevel"/>
    <w:tmpl w:val="44F02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1"/>
  </w:num>
  <w:num w:numId="2" w16cid:durableId="8407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NrQ0NTE3MDE1MDFR0lEKTi0uzszPAykwqgUAtYLJ6CwAAAA="/>
  </w:docVars>
  <w:rsids>
    <w:rsidRoot w:val="0084473D"/>
    <w:rsid w:val="00026A45"/>
    <w:rsid w:val="00042530"/>
    <w:rsid w:val="00052D1B"/>
    <w:rsid w:val="000C2E7A"/>
    <w:rsid w:val="000F4D5B"/>
    <w:rsid w:val="00172510"/>
    <w:rsid w:val="00173F2A"/>
    <w:rsid w:val="0017428A"/>
    <w:rsid w:val="0018331C"/>
    <w:rsid w:val="001A3F8A"/>
    <w:rsid w:val="001B036B"/>
    <w:rsid w:val="00226C25"/>
    <w:rsid w:val="0023062D"/>
    <w:rsid w:val="002649CB"/>
    <w:rsid w:val="0027746F"/>
    <w:rsid w:val="002B6AE4"/>
    <w:rsid w:val="003126CB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90817"/>
    <w:rsid w:val="004E051F"/>
    <w:rsid w:val="005078D1"/>
    <w:rsid w:val="005170B5"/>
    <w:rsid w:val="00535205"/>
    <w:rsid w:val="005451A3"/>
    <w:rsid w:val="005931E6"/>
    <w:rsid w:val="005A7610"/>
    <w:rsid w:val="00617139"/>
    <w:rsid w:val="00655D69"/>
    <w:rsid w:val="00695D1B"/>
    <w:rsid w:val="006A2863"/>
    <w:rsid w:val="006B0561"/>
    <w:rsid w:val="006D0169"/>
    <w:rsid w:val="00726B0B"/>
    <w:rsid w:val="0073070A"/>
    <w:rsid w:val="00771A50"/>
    <w:rsid w:val="00773CA1"/>
    <w:rsid w:val="007A0D8E"/>
    <w:rsid w:val="007D52CA"/>
    <w:rsid w:val="007F2468"/>
    <w:rsid w:val="007F4270"/>
    <w:rsid w:val="00824B2B"/>
    <w:rsid w:val="00841899"/>
    <w:rsid w:val="0084473D"/>
    <w:rsid w:val="00853969"/>
    <w:rsid w:val="00861105"/>
    <w:rsid w:val="00872EDA"/>
    <w:rsid w:val="008C7B82"/>
    <w:rsid w:val="008E372E"/>
    <w:rsid w:val="00914920"/>
    <w:rsid w:val="00932F38"/>
    <w:rsid w:val="009561F6"/>
    <w:rsid w:val="009918E3"/>
    <w:rsid w:val="009936B4"/>
    <w:rsid w:val="009B3EFF"/>
    <w:rsid w:val="009C16E5"/>
    <w:rsid w:val="00A133B1"/>
    <w:rsid w:val="00A14454"/>
    <w:rsid w:val="00A20954"/>
    <w:rsid w:val="00A50D33"/>
    <w:rsid w:val="00A53955"/>
    <w:rsid w:val="00AA11B9"/>
    <w:rsid w:val="00AD1672"/>
    <w:rsid w:val="00AE155E"/>
    <w:rsid w:val="00AF666A"/>
    <w:rsid w:val="00B1663B"/>
    <w:rsid w:val="00B25623"/>
    <w:rsid w:val="00B2679C"/>
    <w:rsid w:val="00B2681A"/>
    <w:rsid w:val="00B3274D"/>
    <w:rsid w:val="00B56297"/>
    <w:rsid w:val="00BA7CC4"/>
    <w:rsid w:val="00C10ADC"/>
    <w:rsid w:val="00C16969"/>
    <w:rsid w:val="00C257D9"/>
    <w:rsid w:val="00C30AB5"/>
    <w:rsid w:val="00C642B8"/>
    <w:rsid w:val="00C75E6A"/>
    <w:rsid w:val="00C778E4"/>
    <w:rsid w:val="00CE13E1"/>
    <w:rsid w:val="00D37B89"/>
    <w:rsid w:val="00D45A82"/>
    <w:rsid w:val="00D46B37"/>
    <w:rsid w:val="00DA6814"/>
    <w:rsid w:val="00DA6C84"/>
    <w:rsid w:val="00DC3FEC"/>
    <w:rsid w:val="00DE1D9F"/>
    <w:rsid w:val="00E20B46"/>
    <w:rsid w:val="00E372BA"/>
    <w:rsid w:val="00E502C2"/>
    <w:rsid w:val="00E57D5D"/>
    <w:rsid w:val="00E9484B"/>
    <w:rsid w:val="00E97B67"/>
    <w:rsid w:val="00EA28AB"/>
    <w:rsid w:val="00EC735C"/>
    <w:rsid w:val="00EE7F8B"/>
    <w:rsid w:val="00EF050A"/>
    <w:rsid w:val="00F93BFD"/>
    <w:rsid w:val="00FD0013"/>
    <w:rsid w:val="00FD08C6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4"/>
  </w:style>
  <w:style w:type="character" w:customStyle="1" w:styleId="Heading1Char">
    <w:name w:val="Heading 1 Char"/>
    <w:basedOn w:val="DefaultParagraphFont"/>
    <w:link w:val="Heading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4</ap:Pages>
  <ap:Words>604</ap:Words>
  <ap:Characters>3448</ap:Characters>
  <ap:Application>Microsoft Office Word</ap:Application>
  <ap:DocSecurity>0</ap:DocSecurity>
  <ap:Lines>28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4044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Gary</dc:creator>
  <keywords>, docId:77BBFA7077ED661D61C1B1776416D0EB</keywords>
  <dc:description/>
  <lastModifiedBy>FIPL19</lastModifiedBy>
  <revision>2</revision>
  <lastPrinted>2021-04-27T13:39:00.0000000Z</lastPrinted>
  <dcterms:created xsi:type="dcterms:W3CDTF">2023-06-09T10:45:00.0000000Z</dcterms:created>
  <dcterms:modified xsi:type="dcterms:W3CDTF">2023-06-09T10:45:00.0000000Z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