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900"/>
        </w:tabs>
        <w:rPr/>
        <w:sectPr>
          <w:headerReference r:id="rId6" w:type="default"/>
          <w:headerReference r:id="rId7" w:type="first"/>
          <w:footerReference r:id="rId8" w:type="default"/>
          <w:footerReference r:id="rId9" w:type="first"/>
          <w:pgSz w:h="16838" w:w="11906" w:orient="portrait"/>
          <w:pgMar w:bottom="170" w:top="170" w:left="170" w:right="170" w:header="0" w:footer="0"/>
          <w:pgNumType w:start="1"/>
        </w:sect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-142238</wp:posOffset>
            </wp:positionH>
            <wp:positionV relativeFrom="margin">
              <wp:posOffset>-239393</wp:posOffset>
            </wp:positionV>
            <wp:extent cx="7625715" cy="10782300"/>
            <wp:effectExtent b="0" l="0" r="0" t="0"/>
            <wp:wrapSquare wrapText="bothSides" distB="0" distT="0" distL="114300" distR="114300"/>
            <wp:docPr descr="Shape&#10;&#10;Description automatically generated" id="5" name="image1.png"/>
            <a:graphic>
              <a:graphicData uri="http://schemas.openxmlformats.org/drawingml/2006/picture">
                <pic:pic>
                  <pic:nvPicPr>
                    <pic:cNvPr descr="Shape&#10;&#10;Description automatically generated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1988820</wp:posOffset>
                </wp:positionV>
                <wp:extent cx="5435600" cy="3076575"/>
                <wp:effectExtent b="0" l="0" r="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632963" y="2246475"/>
                          <a:ext cx="5426075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5b335"/>
                                <w:sz w:val="72"/>
                                <w:vertAlign w:val="baseline"/>
                              </w:rPr>
                              <w:t xml:space="preserve">Osobní, sociální a učební kompetence prostřednictvím digitálních a sociálních médií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5b335"/>
                                <w:sz w:val="7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4"/>
                                <w:vertAlign w:val="baseline"/>
                              </w:rPr>
                              <w:t xml:space="preserve">Handout pro studenty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1988820</wp:posOffset>
                </wp:positionV>
                <wp:extent cx="5435600" cy="3076575"/>
                <wp:effectExtent b="0" l="0" r="0" t="0"/>
                <wp:wrapSquare wrapText="bothSides" distB="45720" distT="45720" distL="114300" distR="114300"/>
                <wp:docPr id="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5600" cy="3076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Obsah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gjdgx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 je to osobní a sociální kompetence a kompetence k učení?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Jaká je souvislost mezi osobními, sociálními a L2L kompetencemi a digitálními a sociálními médii?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Případová studie – celostní psycholožka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Vzdělávací aktivita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Další četba nebo studijní materiály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Co je to osobní a sociální kompetence a kompetence k učení?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Osobní, sociální a schopnost učit se, často označované jako klíčové kompetence nebo průřezové dovednosti, jsou základní dovednosti, které Rada EU uznala jako jednu z osmi klíčových kompetencí pro celoživotní učení. Jsou považovány za průřezové nebo měkké dovednosti, protože tyto dovednosti jsou behaviorální a interpersonální, které se týkají toho, jak efektivně lidé komunikují s ostatními a zvládají situace. Tyto vlastnosti lze přenést na jakoukoli pracovní pozici i do osobního života a vztahů. Mají zásadní význam jak pro náš osobní růst a rozvoj, tak pro profesní růst a zaměstnatelnost a celkovou pohodu.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76202</wp:posOffset>
            </wp:positionH>
            <wp:positionV relativeFrom="paragraph">
              <wp:posOffset>1781175</wp:posOffset>
            </wp:positionV>
            <wp:extent cx="2343150" cy="2190470"/>
            <wp:effectExtent b="0" l="0" r="0" t="0"/>
            <wp:wrapSquare wrapText="bothSides" distB="114300" distT="114300" distL="114300" distR="11430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10067" l="7931" r="7240" t="1036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1904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Osobní kompetence znamená porozumění sobě samému, zvládání emocí a rozvoj pozitivního sebepojetí. Zahrnuje sebeuvědomění, sebedůvěru, emoční inteligenci a odolnost. Jedinci se silnými osobními kompetencemi jsou lépe vybaveni pro stanovování a dosahování cílů, přizpůsobování se změnám a efektivní zvládání výzev. Tato kompetence zahrnuje také řízení času, sebemotivaci a ochotu převzít iniciativu, což přispívá k osobnímu růstu a úspěchu v osobní i profesní sféře.</w:t>
      </w:r>
    </w:p>
    <w:p w:rsidR="00000000" w:rsidDel="00000000" w:rsidP="00000000" w:rsidRDefault="00000000" w:rsidRPr="00000000" w14:paraId="0000001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Sociální kompetence spočívají v efektivní interakci s ostatními, v budování a udržování pozitivních vztahů a v empatii a ohleduplnosti k pocitům a perspektivám druhých. Tato kompetence zahrnuje komunikační dovednosti, aktivní naslouchání, týmovou práci, řešení konfliktů a mezikulturní povědomí. Jedinci se silnými sociálními kompetencemi mohou efektivně spolupracovat v různorodém prostředí, vést týmy a pozitivně přispívat svým komunitám.</w:t>
      </w:r>
    </w:p>
    <w:p w:rsidR="00000000" w:rsidDel="00000000" w:rsidP="00000000" w:rsidRDefault="00000000" w:rsidRPr="00000000" w14:paraId="0000001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"Learn to learn" kompetence znamená stát se efektivním a samostatným žákem. Zahrnuje rozvoj dovedností a postojů nezbytných k získávání a používání znalostí po celý život. Tato kompetence zahrnuje kritické myšlení, řešení problémů, informační gramotnost, tvořivost a zvídavost. Jedinci se silnou kompetencí k učení se dokáží přizpůsobit novým výzvám, neustále získávat nové dovednosti a znalosti a zůstat motivovaní k celoživotnímu učení.</w:t>
      </w:r>
    </w:p>
    <w:p w:rsidR="00000000" w:rsidDel="00000000" w:rsidP="00000000" w:rsidRDefault="00000000" w:rsidRPr="00000000" w14:paraId="0000001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Tyto tři kompetence jsou vzájemně propojené a vzájemně se posilují. Například silné osobní kompetence mohou vést k lepším sociálním interakcím a lepším výsledkům v učení. Stejně tak může dobře rozvinutá kompetence k učení přispět k osobnímu růstu a větší sociální adaptabilitě.</w:t>
      </w:r>
    </w:p>
    <w:p w:rsidR="00000000" w:rsidDel="00000000" w:rsidP="00000000" w:rsidRDefault="00000000" w:rsidRPr="00000000" w14:paraId="0000002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Jaká je souvislost mezi osobními, sociálními a L2L kompetencemi a digitálními a sociálními médii?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Digitální technologie mohou různými způsoby posílit a usnadnit rozvoj osobních, sociálních a vzdělávacích kompetencí.</w:t>
      </w:r>
    </w:p>
    <w:p w:rsidR="00000000" w:rsidDel="00000000" w:rsidP="00000000" w:rsidRDefault="00000000" w:rsidRPr="00000000" w14:paraId="00000024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Tipy pro zvýšení osobních kompetencí prostřednictvím digitálních a sociálních médií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3905250</wp:posOffset>
            </wp:positionH>
            <wp:positionV relativeFrom="paragraph">
              <wp:posOffset>311888</wp:posOffset>
            </wp:positionV>
            <wp:extent cx="2366963" cy="1775222"/>
            <wp:effectExtent b="0" l="0" r="0" t="0"/>
            <wp:wrapSquare wrapText="bothSides" distB="114300" distT="114300" distL="114300" distR="11430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11281" l="15878" r="15201" t="11125"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17752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Aplikace pro psaní deníků mohou pomoci při sebereflexi;</w:t>
      </w:r>
    </w:p>
    <w:p w:rsidR="00000000" w:rsidDel="00000000" w:rsidP="00000000" w:rsidRDefault="00000000" w:rsidRPr="00000000" w14:paraId="0000002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Webové stránky věnované osobnímu rozvoji vám mohou pomoci získat přehled o vašich silných stránkách a oblastech, které je třeba zlepšit;</w:t>
      </w:r>
    </w:p>
    <w:p w:rsidR="00000000" w:rsidDel="00000000" w:rsidP="00000000" w:rsidRDefault="00000000" w:rsidRPr="00000000" w14:paraId="0000002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Aplikace pro všímavost a meditaci vám pomohou cvičit všímavost a meditaci, abyste snížili stres;</w:t>
      </w:r>
    </w:p>
    <w:p w:rsidR="00000000" w:rsidDel="00000000" w:rsidP="00000000" w:rsidRDefault="00000000" w:rsidRPr="00000000" w14:paraId="0000002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Online zdroje o emoční inteligenci vám mohou poskytnout návod a pomoci vám pochopit a efektivně zvládat vaše emoce.</w:t>
      </w:r>
    </w:p>
    <w:p w:rsidR="00000000" w:rsidDel="00000000" w:rsidP="00000000" w:rsidRDefault="00000000" w:rsidRPr="00000000" w14:paraId="00000029">
      <w:pPr>
        <w:spacing w:after="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Tipy pro zvýšení sociálních kompetencí prostřednictvím digitálních a sociálních médií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Zapojte se do online komunit a účastněte se online diskusí týkajících se vašich zájmů a koníčků;</w:t>
      </w:r>
    </w:p>
    <w:p w:rsidR="00000000" w:rsidDel="00000000" w:rsidP="00000000" w:rsidRDefault="00000000" w:rsidRPr="00000000" w14:paraId="0000002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Cvičte se v aktivním naslouchání tím, že si přečtete názory ostatních a porozumíte jim, než na ně začnete reagovat;</w:t>
      </w:r>
    </w:p>
    <w:p w:rsidR="00000000" w:rsidDel="00000000" w:rsidP="00000000" w:rsidRDefault="00000000" w:rsidRPr="00000000" w14:paraId="0000002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Účastněte se virtuálních akcí (seminářů nebo konferencí), abyste si procvičili sociální dovednosti ve virtuálním prostředí a navázali kontakt s lidmi z různých prostředí;</w:t>
      </w:r>
    </w:p>
    <w:p w:rsidR="00000000" w:rsidDel="00000000" w:rsidP="00000000" w:rsidRDefault="00000000" w:rsidRPr="00000000" w14:paraId="0000002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Prezentujte své dovednosti, úspěchy a zájmy vytvořením a udržováním profesionální online prezentace.</w:t>
      </w:r>
    </w:p>
    <w:p w:rsidR="00000000" w:rsidDel="00000000" w:rsidP="00000000" w:rsidRDefault="00000000" w:rsidRPr="00000000" w14:paraId="0000002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Tipy pro zlepšení kompetence k učení (L2L) prostřednictvím digitálních a sociálních médií</w:t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Digitální kalendáře a aplikace pro zvýšení produktivity vám mohou pomoci s organizací rozvrhu a efektivnější správou času;</w:t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Prozkoumejte e-learningové platformy, které nabízejí širokou škálu kurzů a zdrojů na různá témata, například Coursera, Udemy a Khan Academy;</w:t>
      </w:r>
    </w:p>
    <w:p w:rsidR="00000000" w:rsidDel="00000000" w:rsidP="00000000" w:rsidRDefault="00000000" w:rsidRPr="00000000" w14:paraId="0000003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Sledujte a přihlaste se k odběru vzdělávacích blogů, stránek na Instagramu a kanálů na YouTube, které nabízejí cenné postřehy a informace o tématech, která vás zajímají;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sz w:val="24"/>
          <w:szCs w:val="24"/>
          <w:rtl w:val="0"/>
        </w:rPr>
        <w:t xml:space="preserve">● Prozkoumejte vzdělávací aplikace, které odpovídají vašim vzdělávacím cílům (např. pro výuku jazyků, rozvoj dovedností atd.).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  <w:t xml:space="preserve">Případová studie – celostní psycholožka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highlight w:val="yell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304800</wp:posOffset>
            </wp:positionV>
            <wp:extent cx="2509175" cy="2499916"/>
            <wp:effectExtent b="0" l="0" r="0" t="0"/>
            <wp:wrapSquare wrapText="bothSides" distB="114300" distT="114300" distL="114300" distR="11430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9175" cy="24999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Dr. Nicole LePera, známá také jako "celostní psycholožka", je licencovaná klinická psycholožka, tvůrkyně obsahu a autorka známá svou prací v oblasti psychologie a duševního zdraví. Je autorkou tří knih, vede workshopy a věnuje se veřejným vystoupením, aby dále šířila povědomí o duševním zdraví a významu holistických přístupů ke zdraví. 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Přesně jak říká název její značky, její přístup je celostní, což znamená, že se při své práci zaměřuje na integraci mysli, těla a ducha v procesu uzdravování a růstu. Umožňuje jednotlivcům, aby se aktivně podíleli na své cestě za duševním zdravím, a poskytuje různé nástroje ke zlepšení celkové pohody.</w:t>
      </w:r>
    </w:p>
    <w:p w:rsidR="00000000" w:rsidDel="00000000" w:rsidP="00000000" w:rsidRDefault="00000000" w:rsidRPr="00000000" w14:paraId="0000003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Značnou popularitu si získala díky své přítomnosti na sociálních sítích, zejména na Instagramu, Facebooku a YouTube, a to díky poutavému mikroučebnímu obsahu o komplexních tématech, jako je emoční inteligence, komunikační dovednosti, léčení traumat, péče o sebe, všímavost, budování odolnosti a teorie připoutání. </w:t>
      </w:r>
    </w:p>
    <w:p w:rsidR="00000000" w:rsidDel="00000000" w:rsidP="00000000" w:rsidRDefault="00000000" w:rsidRPr="00000000" w14:paraId="0000003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Mikroučební obsah je nejdůležitější součástí její práce a navíc je zdarma a přístupný komukoli. Její sledující mohou snadno konzumovat její rozkouskovaný obsah na sociálních sítích - její příspěvky jsou stručné, poutavé a zaměřují se na poskytování klíčových poznatků nebo užitečných tipů prostřednictvím vizuálně atraktivní grafiky. </w:t>
      </w:r>
    </w:p>
    <w:p w:rsidR="00000000" w:rsidDel="00000000" w:rsidP="00000000" w:rsidRDefault="00000000" w:rsidRPr="00000000" w14:paraId="0000003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Díky svým skvělým vypravěčským technikám dokáže jednoduše a účinně předávat složité psychologické koncepty prostřednictvím skvělých vypravěčských technik a zranitelného a autentického sdílení osobních zkušeností z osobního života. Prostřednictvím svých příspěvků sdílí cenné postřehy, praktické tipy, návody, strategie a svépomocné rady týkající se duševní pohody a osobního rozvoje. LePera ve svém mikrolearningovém obsahu poskytuje praktické rady a nástroje, které mohou diváci použít ke zlepšení své duševní pohody a osobního rozvoje. Nabízí realizovatelné strategie, které lze snadno uplatnit v každodenním životě. </w:t>
      </w:r>
    </w:p>
    <w:p w:rsidR="00000000" w:rsidDel="00000000" w:rsidP="00000000" w:rsidRDefault="00000000" w:rsidRPr="00000000" w14:paraId="0000003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Své sledující také vybízí, aby se pod každým příspěvkem podělili o své vlastní příběhy a zkušenosti. Se svým publikem často komunikuje prostřednictvím živých otázek a odpovědí a reaguje na komentáře, čímž vytváří pocit komunity a podporuje otevřený dialog o duševním zdraví a osobním rozvoji.</w:t>
      </w:r>
    </w:p>
    <w:p w:rsidR="00000000" w:rsidDel="00000000" w:rsidP="00000000" w:rsidRDefault="00000000" w:rsidRPr="00000000" w14:paraId="0000003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 závislosti na vašich individuálních preferencích a problémech v oblasti duševního zdraví může být zapojení do obsahu mikrovzdělávání Nicole LePery cennou samostatnou činností pro dospělé, kteří hledají poznatky o osobním rozvoji a duševním zdraví. </w:t>
      </w:r>
    </w:p>
    <w:p w:rsidR="00000000" w:rsidDel="00000000" w:rsidP="00000000" w:rsidRDefault="00000000" w:rsidRPr="00000000" w14:paraId="0000003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Otázky: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line="360" w:lineRule="auto"/>
        <w:ind w:left="72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Jak Nicole LePera zapojuje osobní dovednosti prostřednictvím digitálních a sociálních médií?</w:t>
      </w:r>
    </w:p>
    <w:p w:rsidR="00000000" w:rsidDel="00000000" w:rsidP="00000000" w:rsidRDefault="00000000" w:rsidRPr="00000000" w14:paraId="00000041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spacing w:line="36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Chtěli byste pracovat na zvýšení svých osobních a sociálních kompetencí prostřednictvím tohoto druhu mikrovzdělávacího obsahu?</w:t>
      </w:r>
    </w:p>
    <w:p w:rsidR="00000000" w:rsidDel="00000000" w:rsidP="00000000" w:rsidRDefault="00000000" w:rsidRPr="00000000" w14:paraId="0000004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Napadají vás nějaké další aktivity v oblasti digitálních a sociálních médií, které vás baví a které zahrnují osobní a sociální dovednosti nebo L2L dovednost?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1"/>
        <w:rPr/>
      </w:pPr>
      <w:bookmarkStart w:colFirst="0" w:colLast="0" w:name="_3znysh7" w:id="3"/>
      <w:bookmarkEnd w:id="3"/>
      <w:r w:rsidDel="00000000" w:rsidR="00000000" w:rsidRPr="00000000">
        <w:rPr>
          <w:rtl w:val="0"/>
        </w:rPr>
        <w:t xml:space="preserve">Vzdělávací aktivita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224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38"/>
        <w:gridCol w:w="2693"/>
        <w:gridCol w:w="1560"/>
        <w:gridCol w:w="3133"/>
        <w:tblGridChange w:id="0">
          <w:tblGrid>
            <w:gridCol w:w="1838"/>
            <w:gridCol w:w="2693"/>
            <w:gridCol w:w="1560"/>
            <w:gridCol w:w="3133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Téma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Osobní, sociální a L2L kompetence prostřednictvím digitálních a sociálních médií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Název activity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Zlepšení digitálního time managementu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Typ zdroje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deded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Vzdělávací aktivita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Foto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3203575" cy="4805363"/>
                  <wp:effectExtent b="0" l="0" r="0" t="0"/>
                  <wp:docPr id="6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575" cy="4805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Doba trvání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 minut každý den na časový audit</w:t>
            </w:r>
          </w:p>
          <w:p w:rsidR="00000000" w:rsidDel="00000000" w:rsidP="00000000" w:rsidRDefault="00000000" w:rsidRPr="00000000" w14:paraId="0000006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 minut na činnost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vAlign w:val="center"/>
          </w:tcPr>
          <w:p w:rsidR="00000000" w:rsidDel="00000000" w:rsidP="00000000" w:rsidRDefault="00000000" w:rsidRPr="00000000" w14:paraId="0000006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Vzdělávací výstupy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pacing w:after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Zamyslete se nad svými vlastními dovednostmi v oblasti řízení času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pacing w:after="0" w:line="240" w:lineRule="auto"/>
              <w:ind w:left="720" w:hanging="36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Prozkoumejte techniky a strategie řízení času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Cíl aktivity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Cílem této aktivity je umožnit žákům zlepšit jejich dovednosti v oblasti řízení času prostřednictvím online zdrojů a digitálních nástrojů.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Materiály potřebné k činnosti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B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144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Zařízení připojené k internetu (počítač, tablet nebo chytrý telefon)</w:t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144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Zápisník a pero</w:t>
            </w:r>
          </w:p>
        </w:tc>
      </w:tr>
      <w:tr>
        <w:trPr>
          <w:cantSplit w:val="0"/>
          <w:trHeight w:val="15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Pokyny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1: Udělejte si </w:t>
            </w:r>
            <w:hyperlink r:id="rId1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test</w:t>
              </w:r>
            </w:hyperlink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 time managementu. Test vám na základě odpovědí na řadu otázek ukáže úroveň vašich dovedností v oblasti time managementu a oblasti, na kterých je třeba zapracovat.</w:t>
            </w:r>
          </w:p>
          <w:p w:rsidR="00000000" w:rsidDel="00000000" w:rsidP="00000000" w:rsidRDefault="00000000" w:rsidRPr="00000000" w14:paraId="00000071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Krok 2: Proveďte několikadenní časový audit. Použijte digitální aplikace pro sledování času nebo si nastavte upomínky a zaznamenávejte, jak trávíte čas během dne. Identifikujte činnosti, při kterých dochází k plýtvání časem, a oblasti, které lze zlepšit. </w:t>
            </w:r>
          </w:p>
          <w:p w:rsidR="00000000" w:rsidDel="00000000" w:rsidP="00000000" w:rsidRDefault="00000000" w:rsidRPr="00000000" w14:paraId="00000073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Krok 3: Přečtěte si </w:t>
            </w:r>
            <w:r w:rsidDel="00000000" w:rsidR="00000000" w:rsidRPr="00000000">
              <w:rPr>
                <w:color w:val="1155cc"/>
                <w:sz w:val="24"/>
                <w:szCs w:val="24"/>
                <w:u w:val="single"/>
                <w:rtl w:val="0"/>
              </w:rPr>
              <w:t xml:space="preserve">tento</w:t>
            </w: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 článek o dovednostech v oblasti time managementu a strategiích pro jejich zlepšení.</w:t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Krok 4: Zamyslete se nad výsledky svého testu a časového auditu a pokuste se odpovědět na následující otázky:</w:t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1.</w:t>
              <w:tab/>
              <w:t xml:space="preserve">Jak v současné době rozděluji svůj čas během dne?</w:t>
            </w:r>
          </w:p>
          <w:p w:rsidR="00000000" w:rsidDel="00000000" w:rsidP="00000000" w:rsidRDefault="00000000" w:rsidRPr="00000000" w14:paraId="00000079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Zamyslete se nad svými každodenními činnostmi a nad tím, kolik času věnujete různým úkolům nebo rozptýlení. Zvažte, zda je vaše rozdělení času v souladu s vašimi prioritami a dlouhodobými cíli.</w:t>
            </w:r>
          </w:p>
          <w:p w:rsidR="00000000" w:rsidDel="00000000" w:rsidP="00000000" w:rsidRDefault="00000000" w:rsidRPr="00000000" w14:paraId="0000007A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2.</w:t>
              <w:tab/>
              <w:t xml:space="preserve">Identifikovali jste nějaké návyky nebo činnosti, které vás připravují o čas?  </w:t>
            </w:r>
          </w:p>
          <w:p w:rsidR="00000000" w:rsidDel="00000000" w:rsidP="00000000" w:rsidRDefault="00000000" w:rsidRPr="00000000" w14:paraId="0000007B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Identifikujte nějaké návyky nebo činnosti, které spotřebovávají značnou část času, aniž by přispívaly k vaší produktivitě nebo pohodě. Zamyslete se nad způsoby, jak je omezit nebo odstranit z vaší každodenní rutiny.</w:t>
            </w:r>
          </w:p>
          <w:p w:rsidR="00000000" w:rsidDel="00000000" w:rsidP="00000000" w:rsidRDefault="00000000" w:rsidRPr="00000000" w14:paraId="0000007C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3.</w:t>
              <w:tab/>
              <w:t xml:space="preserve">Jak si mohu lépe zorganizovat a stanovit priority svých úkolů, abych zlepšil/a svůj time management?</w:t>
            </w:r>
          </w:p>
          <w:p w:rsidR="00000000" w:rsidDel="00000000" w:rsidP="00000000" w:rsidRDefault="00000000" w:rsidRPr="00000000" w14:paraId="0000007D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Napište si své vlastní metody organizace úkolů a stanovení priorit a jejich efektivitu. Zvažte, zda si osvojit techniky a strategie řízení času, které jste se dozvěděli z článku.</w:t>
            </w:r>
          </w:p>
        </w:tc>
      </w:tr>
    </w:tbl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1"/>
        <w:rPr/>
      </w:pPr>
      <w:bookmarkStart w:colFirst="0" w:colLast="0" w:name="_2et92p0" w:id="4"/>
      <w:bookmarkEnd w:id="4"/>
      <w:r w:rsidDel="00000000" w:rsidR="00000000" w:rsidRPr="00000000">
        <w:rPr>
          <w:rtl w:val="0"/>
        </w:rPr>
        <w:t xml:space="preserve">Další četba nebo studijní materiály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Gratulujeme, dosáhli jste tohoto bodu a dokončili jste aktivity týkající se sebereflexe v oblasti osobních, sociálních a studijních kompetencí prostřednictvím digitálních a sociálních médií. Co bude následovat? Pokud se chcete dozvědět více o tématech, která jste dosud v této lekci probírali, připravili jsme pro vás následující doplňující materiály k četbě. V této části jsou uvedeny odkazy na další materiály a videa, které jsme našli na internetu a které vám podle našeho názoru pomohou udělat další krok v rozvíjení vašich znalostí.</w:t>
      </w:r>
    </w:p>
    <w:p w:rsidR="00000000" w:rsidDel="00000000" w:rsidP="00000000" w:rsidRDefault="00000000" w:rsidRPr="00000000" w14:paraId="00000088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72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54"/>
        <w:gridCol w:w="7418"/>
        <w:tblGridChange w:id="0">
          <w:tblGrid>
            <w:gridCol w:w="1654"/>
            <w:gridCol w:w="7418"/>
          </w:tblGrid>
        </w:tblGridChange>
      </w:tblGrid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9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bookmarkStart w:colFirst="0" w:colLast="0" w:name="_tyjcwt" w:id="5"/>
            <w:bookmarkEnd w:id="5"/>
            <w:r w:rsidDel="00000000" w:rsidR="00000000" w:rsidRPr="00000000">
              <w:rPr>
                <w:b w:val="1"/>
                <w:color w:val="ffffff"/>
                <w:rtl w:val="0"/>
              </w:rPr>
              <w:t xml:space="preserve">Název zdroje:</w:t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after="120" w:before="12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Test emoční inteligence prostřednictvím digitálních médií</w:t>
            </w:r>
          </w:p>
        </w:tc>
      </w:tr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B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Téma:</w:t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Emoční inteligence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D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Úvod:</w:t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both"/>
              <w:rPr/>
            </w:pPr>
            <w:r w:rsidDel="00000000" w:rsidR="00000000" w:rsidRPr="00000000">
              <w:rPr>
                <w:color w:val="0e101a"/>
                <w:rtl w:val="0"/>
              </w:rPr>
              <w:t xml:space="preserve">Toto sebehodnocení je navrženo tak, aby poskytlo cenné informace o vaší emoční inteligenci a pomohlo vám lépe porozumět vašim emocím a mezilidským dovednostem.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F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bookmarkStart w:colFirst="0" w:colLast="0" w:name="_3dy6vkm" w:id="6"/>
            <w:bookmarkEnd w:id="6"/>
            <w:r w:rsidDel="00000000" w:rsidR="00000000" w:rsidRPr="00000000">
              <w:rPr>
                <w:b w:val="1"/>
                <w:color w:val="ffffff"/>
                <w:rtl w:val="0"/>
              </w:rPr>
              <w:t xml:space="preserve">Co získáte použitím tohoto zdroje?</w:t>
            </w:r>
          </w:p>
          <w:p w:rsidR="00000000" w:rsidDel="00000000" w:rsidP="00000000" w:rsidRDefault="00000000" w:rsidRPr="00000000" w14:paraId="00000090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76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 zodpovězení řady otázek týkajících se vašeho osobního a profesního života získáte osobní zpětnou vazbu, která vám ukáže úroveň vaší emoční inteligence a oblasti, na kterých je třeba pracovat, a to vše doplněné krátkým motivačním videem. 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Výsledky vám umožní zlepšit sebeuvědomění, empatické porozumění a efektivní emoční regulaci v osobních i profesních interakcích.</w:t>
            </w:r>
          </w:p>
        </w:tc>
      </w:tr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3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Odkaz:</w:t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120" w:before="120" w:line="276" w:lineRule="auto"/>
              <w:jc w:val="both"/>
              <w:rPr>
                <w:color w:val="000000"/>
              </w:rPr>
            </w:pP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https://www.ihhp.com/free-eq-quiz/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72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5"/>
        <w:gridCol w:w="7087"/>
        <w:tblGridChange w:id="0">
          <w:tblGrid>
            <w:gridCol w:w="1985"/>
            <w:gridCol w:w="7087"/>
          </w:tblGrid>
        </w:tblGridChange>
      </w:tblGrid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A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Název zdroje:</w:t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Test mezilidských dovedností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C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Téma:</w:t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after="120" w:before="120" w:line="276" w:lineRule="auto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  <w:t xml:space="preserve">Interpersonální dovednosti prostřednictvím digitálních médií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E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Úvod:</w:t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after="120" w:before="12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Toto bezplatné sebehodnocení vám pomůže zjistit, jak rozvinuté jsou vaše mezilidské dovednosti, a určit oblasti, které můžete procvičit a zlepšit.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0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 získáte použitím tohoto zdroje?</w:t>
            </w:r>
          </w:p>
        </w:tc>
        <w:tc>
          <w:tcPr/>
          <w:p w:rsidR="00000000" w:rsidDel="00000000" w:rsidP="00000000" w:rsidRDefault="00000000" w:rsidRPr="00000000" w14:paraId="000000A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76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Objevte své silné a slabé stránky v oblasti mezilidských vztahů.</w:t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Prozkoumejte oblasti, jako jsou dovednosti naslouchání, verbální komunikace, emoční inteligence a práce ve skupině.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3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Odkaz:</w:t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120" w:before="120" w:line="276" w:lineRule="auto"/>
              <w:jc w:val="both"/>
              <w:rPr>
                <w:color w:val="000000"/>
              </w:rPr>
            </w:pPr>
            <w:hyperlink r:id="rId1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https://www.skillsyouneed.com/interpersonal-skills.html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Fonts w:ascii="Source Sans Pro" w:cs="Source Sans Pro" w:eastAsia="Source Sans Pro" w:hAnsi="Source Sans Pro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-914398</wp:posOffset>
            </wp:positionH>
            <wp:positionV relativeFrom="margin">
              <wp:posOffset>-931543</wp:posOffset>
            </wp:positionV>
            <wp:extent cx="7625715" cy="10765155"/>
            <wp:effectExtent b="0" l="0" r="0" t="0"/>
            <wp:wrapSquare wrapText="bothSides" distB="0" distT="0" distL="114300" distR="114300"/>
            <wp:docPr descr="Timeline&#10;&#10;Description automatically generated" id="4" name="image4.png"/>
            <a:graphic>
              <a:graphicData uri="http://schemas.openxmlformats.org/drawingml/2006/picture">
                <pic:pic>
                  <pic:nvPicPr>
                    <pic:cNvPr descr="Timeline&#10;&#10;Description automatically generated"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20" w:type="first"/>
      <w:footerReference r:id="rId21" w:type="first"/>
      <w:type w:val="nextPage"/>
      <w:pgSz w:h="16838" w:w="11906" w:orient="portrait"/>
      <w:pgMar w:bottom="1440" w:top="1440" w:left="1440" w:right="1440" w:header="0" w:footer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Bebas Neue">
    <w:embedRegular w:fontKey="{00000000-0000-0000-0000-000000000000}" r:id="rId1" w:subsetted="0"/>
  </w:font>
  <w:font w:name="Noto Sans Symbols">
    <w:embedRegular w:fontKey="{00000000-0000-0000-0000-000000000000}" r:id="rId2" w:subsetted="0"/>
    <w:embedBold w:fontKey="{00000000-0000-0000-0000-000000000000}" r:id="rId3" w:subsetted="0"/>
  </w:font>
  <w:font w:name="Source Sans Pr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  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35471" cy="925204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cap="flat" cmpd="sng" w="19050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35471" cy="925204"/>
              <wp:effectExtent b="0" l="0" r="0" t="0"/>
              <wp:wrapNone/>
              <wp:docPr id="1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35471" cy="92520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b="0" l="0" r="0" t="0"/>
          <wp:wrapSquare wrapText="bothSides" distB="0" distT="0" distL="114300" distR="114300"/>
          <wp:docPr id="9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color w:val="000000"/>
        <w:rtl w:val="0"/>
      </w:rPr>
      <w:t xml:space="preserve">                                                                                             </w:t>
    </w:r>
    <w:r w:rsidDel="00000000" w:rsidR="00000000" w:rsidRPr="00000000">
      <w:rPr>
        <w:color w:val="000000"/>
      </w:rPr>
      <w:drawing>
        <wp:inline distB="0" distT="0" distL="0" distR="0">
          <wp:extent cx="874632" cy="618328"/>
          <wp:effectExtent b="0" l="0" r="0" t="0"/>
          <wp:docPr descr="A picture containing icon&#10;&#10;Description automatically generated" id="7" name="image3.png"/>
          <a:graphic>
            <a:graphicData uri="http://schemas.openxmlformats.org/drawingml/2006/picture">
              <pic:pic>
                <pic:nvPicPr>
                  <pic:cNvPr descr="A picture containing icon&#10;&#10;Description automatically generated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="240" w:lineRule="auto"/>
    </w:pPr>
    <w:rPr>
      <w:rFonts w:ascii="Calibri" w:cs="Calibri" w:eastAsia="Calibri" w:hAnsi="Calibri"/>
      <w:color w:val="225c99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3.xml"/><Relationship Id="rId11" Type="http://schemas.openxmlformats.org/officeDocument/2006/relationships/image" Target="media/image10.png"/><Relationship Id="rId10" Type="http://schemas.openxmlformats.org/officeDocument/2006/relationships/image" Target="media/image1.png"/><Relationship Id="rId21" Type="http://schemas.openxmlformats.org/officeDocument/2006/relationships/footer" Target="footer3.xml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5" Type="http://schemas.openxmlformats.org/officeDocument/2006/relationships/image" Target="media/image8.jpg"/><Relationship Id="rId14" Type="http://schemas.openxmlformats.org/officeDocument/2006/relationships/image" Target="media/image5.jpg"/><Relationship Id="rId17" Type="http://schemas.openxmlformats.org/officeDocument/2006/relationships/hyperlink" Target="https://www.ihhp.com/free-eq-quiz/" TargetMode="External"/><Relationship Id="rId16" Type="http://schemas.openxmlformats.org/officeDocument/2006/relationships/hyperlink" Target="https://www.skillsyouneed.com/quiz/171436" TargetMode="External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header" Target="header2.xml"/><Relationship Id="rId18" Type="http://schemas.openxmlformats.org/officeDocument/2006/relationships/hyperlink" Target="https://www.skillsyouneed.com/interpersonal-skills.html" TargetMode="Externa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ebasNeue-regular.ttf"/><Relationship Id="rId2" Type="http://schemas.openxmlformats.org/officeDocument/2006/relationships/font" Target="fonts/NotoSansSymbols-regular.ttf"/><Relationship Id="rId3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