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70" w:top="170" w:left="170" w:right="170" w:header="0" w:footer="0"/>
          <w:pgNumType w:start="1"/>
        </w:sect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-142238</wp:posOffset>
            </wp:positionH>
            <wp:positionV relativeFrom="margin">
              <wp:posOffset>-239393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1988820</wp:posOffset>
                </wp:positionV>
                <wp:extent cx="5013325" cy="2009775"/>
                <wp:effectExtent b="0" l="0" r="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44100" y="2779875"/>
                          <a:ext cx="500380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Digitální média a vícejazyčné Kompetence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Handout pro studenty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1988820</wp:posOffset>
                </wp:positionV>
                <wp:extent cx="5013325" cy="2009775"/>
                <wp:effectExtent b="0" l="0" r="0" t="0"/>
                <wp:wrapSquare wrapText="bothSides" distB="45720" distT="45720" distL="114300" distR="11430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3325" cy="2009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Vítejte v příručce pro studenty Digitální média a vícejazyčné kompetence! V dnešním propojeném světě se digitální média stala silným nástrojem pro překračování hranic a propojování lidí z různých prostředí. Cílem této příručky je poskytnout vám praktické informace a dovednosti, které vám pomohou orientovat se v globálním prostředí digitálních médií a zároveň podpoří inkluzivitu a mezikulturní porozumění.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Případová studie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Přemosťování kultur pomocí digitálního vyprávění příběhů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Přehled případové studie: V této případové studii se podíváme na to, jak digitální média napomáhají mezikulturní komunikaci a porozumění prostřednictvím silného média vyprávění příběhů. Budeme sledovat cestu skupiny lidí z různých etnických skupin, kteří společně vytvořili projekt digitálního vyprávění příběhů, který ukazuje jejich společné zkušenosti, problémy a cíle. Cílem tohoto projektu bylo prolomit kulturní hranice a vytvořit empatii v jejich komunitách.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Skupina lidí z různých etnických prostředí se spojila v rozmanitém prostředí velkoměsta, aby společně začala pracovat na jedinečném projektu digitálního vyprávění příběhů. Jejich záměrem bylo využít digitální média jako platformu pro sdělování osobních příběhů o jejich kulturní historii a zkušenostech. Doufali, že se jim prostřednictvím partnerství podaří vytvořit platformu pro mezikulturní diskusi, porozumění a uznání.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Proces: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</w:t>
        <w:tab/>
        <w:t xml:space="preserve">Výběr a distribuce příběhů: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Každý účastník si vybral příběh, který je pro něj významný a odráží charakteristiky jeho kulturní identity. Tyto příběhy se pohybovaly od vzpomínek na rodinné rituály až po příběhy o překonávání kulturních stereotypů.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</w:t>
        <w:tab/>
        <w:t xml:space="preserve">Semináře o digitálních médiích: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Skupina se zúčastnila seminářů, na nichž se seznámila s technologiemi a postupy v oblasti digitálních médií. Osvojili si dovednosti v oblasti střihu videa, nahrávání zvuku a grafického designu, které jim pomohou efektivně vyprávět své příběhy.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</w:t>
        <w:tab/>
        <w:t xml:space="preserve">Společná tvorba: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Účastníci pracovali ve dvojicích nebo malých skupinách na vylepšení svých příběhů. Zhodnotili dopad, kterého chtěli dosáhnout, a po sdílení poznatků o kulturních jemnostech vybrali nejpoutavější multimediální díla.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</w:t>
        <w:tab/>
        <w:t xml:space="preserve">Integrace multimédií:</w:t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Účastníci využili své nově nabyté dovednosti v oblasti digitálních médií, aby oživili své příběhy. Používali grafiku, zvukové nahrávky a titulky ve svých rodných jazycích, aby zaručili, že jejich příběhům porozumí celosvětové publikum.</w:t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</w:t>
        <w:tab/>
        <w:t xml:space="preserve">Komunitní přehlídka:</w:t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Projekt vyvrcholil komunitní akcí, na které účastníci vystavili své digitální příběhy. Program přilákal různorodé publikum, což podpořilo mezikulturní interakci a lepší vzájemné porozumění.</w:t>
      </w:r>
    </w:p>
    <w:p w:rsidR="00000000" w:rsidDel="00000000" w:rsidP="00000000" w:rsidRDefault="00000000" w:rsidRPr="00000000" w14:paraId="0000001E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Klíčové otázky pro hodnocení: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● Jakou roli hrála digitální média v úspěchu projektu mezikulturního vyprávění příběhů?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● S jakými obtížemi se účastníci během procesu spolupráce setkali a jak je překonali?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r w:rsidDel="00000000" w:rsidR="00000000" w:rsidRPr="00000000">
        <w:rPr>
          <w:rtl w:val="0"/>
        </w:rPr>
        <w:t xml:space="preserve">Vzdělávací aktivita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38"/>
        <w:gridCol w:w="2410"/>
        <w:gridCol w:w="1843"/>
        <w:gridCol w:w="3133"/>
        <w:tblGridChange w:id="0">
          <w:tblGrid>
            <w:gridCol w:w="1838"/>
            <w:gridCol w:w="2410"/>
            <w:gridCol w:w="1843"/>
            <w:gridCol w:w="3133"/>
          </w:tblGrid>
        </w:tblGridChange>
      </w:tblGrid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Téma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Digitální technologie</w:t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Název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Vytváření digitálního příběhu napříč kulturami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 zdroje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ded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Vzdělávací aktivita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Foto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Doba trvání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90 minut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vAlign w:val="center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Vzdělávací výstup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 konci tohoto projektu budou žáci schopni vytvořit poutavý mezikulturní digitální příběh, který podporuje inkluzivitu a porozumění s využitím digitálních mediálních zdrojů.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Cíl aktivity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Prostřednictvím digitálního vyprávění příběhů budou žáci schopni zprostředkovat své odlišné kulturní zkušenosti a perspektivy a rozvíjet tak mezikulturní komunikaci a porozumění.</w:t>
            </w:r>
          </w:p>
        </w:tc>
      </w:tr>
      <w:tr>
        <w:trPr>
          <w:cantSplit w:val="0"/>
          <w:trHeight w:val="13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Materiály potřebné k činnosti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e101a"/>
                <w:sz w:val="24"/>
                <w:szCs w:val="24"/>
                <w:rtl w:val="0"/>
              </w:rPr>
              <w:t xml:space="preserve">Ppočítače nebo mobilní telefony připojené k internetu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e101a"/>
                <w:sz w:val="24"/>
                <w:szCs w:val="24"/>
                <w:rtl w:val="0"/>
              </w:rPr>
              <w:t xml:space="preserve">Zápisníky a tužky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4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e101a"/>
                <w:sz w:val="24"/>
                <w:szCs w:val="24"/>
                <w:rtl w:val="0"/>
              </w:rPr>
              <w:t xml:space="preserve">Aplikace pro digitální média (např. software pro střih videa, nástroje pro nahrávání zvuku)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Pokyny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Úvod (10 minut)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Začněte diskusí o významu mezikulturní komunikace a o síle vyprávění příběhů při podpoře empatie a porozumění.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Promítněte krátký videoklip, který poukazuje na vliv digitálních médií na podporu mezikulturní komunikace.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Výběr příběhu (15 minut)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Vyzvěte žáky, aby se zamysleli nad svými kulturními zkušenostmi a vybrali si osobní nebo společný příběh, který chtějí vyprávět prostřednictvím digitálních médií.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Poskytněte pokyny k výběru příběhu, který je v souladu s tématem inkluzivity a kulturního uznání.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Vytváření vašeho digitálního příběhu (45 minut)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Seznamte žáky s různými nástroji digitálních médií (software pro střih videa, nástroje pro záznam zvuku) a předveďte jejich základní funkce.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Proveďte žáky procesem tvorby jejich digitálního příběhu, včetně psaní scénáře, nahrávání zvuku a přidávání vizuálních prvků.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Společné sdílení (15 minut)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Povzbuďte žáky, aby sdíleli své digitální příběhy s partnerem nebo v malých skupinách. Zprostředkujte diskusi o společných tématech a kulturních poznatcích, na které ve svých příbězích upozornili.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Reflexe a shrnutí (15 minut)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Ve skupině veďte diskusi o významu mezikulturního digitálního vyprávění příběhů pro podporu globální komunikace a porozumění.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left="720" w:firstLine="0"/>
              <w:jc w:val="both"/>
              <w:rPr>
                <w:color w:val="0e101a"/>
                <w:sz w:val="24"/>
                <w:szCs w:val="24"/>
              </w:rPr>
            </w:pPr>
            <w:r w:rsidDel="00000000" w:rsidR="00000000" w:rsidRPr="00000000">
              <w:rPr>
                <w:color w:val="0e101a"/>
                <w:sz w:val="24"/>
                <w:szCs w:val="24"/>
                <w:rtl w:val="0"/>
              </w:rPr>
              <w:t xml:space="preserve">Vyzvěte studenty, aby se podělili o své úvahy o této aktivitě a jejím dopadu na jejich vnímání kulturní rozmanitosti.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spacing w:line="36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Další četba nebo studijní materiály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Gratulujeme, dosáhli jste tohoto bodu a dokončili jste aktivity spojené se sebereflexí v oblasti sociálních médií a vícejazyčných kompetencí! Co bude následovat? Pokud se chcete dozvědět více o tématech, která jste dosud v této lekci probírali, připravili jsme pro vás následující doplňující materiály k četbě. V této části jsou uvedeny odkazy na další materiály a videa, které jsme našli na internetu a které vám podle našeho názoru pomohou udělat další krok v rozvíjení vašich znalostí.</w:t>
      </w:r>
    </w:p>
    <w:tbl>
      <w:tblPr>
        <w:tblStyle w:val="Table2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4"/>
        <w:gridCol w:w="7418"/>
        <w:tblGridChange w:id="0">
          <w:tblGrid>
            <w:gridCol w:w="1654"/>
            <w:gridCol w:w="7418"/>
          </w:tblGrid>
        </w:tblGridChange>
      </w:tblGrid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5F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Vícejazyčnost v technologiích a vzdělávání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1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Problematika vícejazyčnosti.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3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Tento článek představuje význam vícejazyčnosti v oblasti technologií a vzdělávání.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5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color w:val="ffffff"/>
                <w:rtl w:val="0"/>
              </w:rPr>
              <w:t xml:space="preserve">Co získáte použitím tohoto zdroje?</w:t>
            </w:r>
          </w:p>
          <w:p w:rsidR="00000000" w:rsidDel="00000000" w:rsidP="00000000" w:rsidRDefault="00000000" w:rsidRPr="00000000" w14:paraId="00000066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Pochopení významu mnohojazyčnosti a technologií ve vzdělávání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8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hyperlink r:id="rId12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Multilingualism and technology in education (newagebd.net)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087"/>
        <w:tblGridChange w:id="0">
          <w:tblGrid>
            <w:gridCol w:w="1985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C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Název zdroje: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Tipy pro budování vícejazyčné prezentace na sociálních sítích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6E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Téma: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Vícejazyčnost a sociální média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0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Úvod: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20" w:before="12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Užitečné tipy, jak budovat vícejazyčnou prezentaci na sociálních sítích.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2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 získáte použitím tohoto zdroje?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Porozumění tomu, jak používat sociální média s ohledem na vícejazyčné publikum.</w:t>
            </w:r>
          </w:p>
        </w:tc>
      </w:tr>
      <w:tr>
        <w:trPr>
          <w:cantSplit w:val="0"/>
          <w:tblHeader w:val="0"/>
        </w:trPr>
        <w:tc>
          <w:tcPr>
            <w:shd w:fill="ed7d31" w:val="clear"/>
          </w:tcPr>
          <w:p w:rsidR="00000000" w:rsidDel="00000000" w:rsidP="00000000" w:rsidRDefault="00000000" w:rsidRPr="00000000" w14:paraId="00000074">
            <w:pPr>
              <w:spacing w:after="120" w:before="120"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Odkaz: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120" w:before="120" w:line="276" w:lineRule="auto"/>
              <w:jc w:val="both"/>
              <w:rPr>
                <w:color w:val="000000"/>
                <w:highlight w:val="yellow"/>
              </w:rPr>
            </w:pPr>
            <w:hyperlink r:id="rId13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14 Tips for Building a Multilingual Social Media Presence (hootsuite.com)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6" name="image4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5" w:type="first"/>
      <w:footerReference r:id="rId16" w:type="first"/>
      <w:type w:val="nextPage"/>
      <w:pgSz w:h="16838" w:w="11906" w:orient="portrait"/>
      <w:pgMar w:bottom="1440" w:top="1440" w:left="1440" w:right="1440" w:header="0" w:footer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35471" cy="925204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35471" cy="9252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b="0" l="0" r="0" t="0"/>
          <wp:wrapSquare wrapText="bothSides" distB="0" distT="0" distL="114300" distR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874632" cy="618328"/>
          <wp:effectExtent b="0" l="0" r="0" t="0"/>
          <wp:docPr descr="A picture containing icon&#10;&#10;Description automatically generated" id="5" name="image3.png"/>
          <a:graphic>
            <a:graphicData uri="http://schemas.openxmlformats.org/drawingml/2006/picture">
              <pic:pic>
                <pic:nvPicPr>
                  <pic:cNvPr descr="A picture containing icon&#10;&#10;Description automatically generated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hyperlink" Target="https://blog.hootsuite.com/multilingual-social-media-presence/" TargetMode="External"/><Relationship Id="rId12" Type="http://schemas.openxmlformats.org/officeDocument/2006/relationships/hyperlink" Target="https://www.newagebd.net/article/163284/multilingualism-and-technology-in-educat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eader" Target="header3.xml"/><Relationship Id="rId14" Type="http://schemas.openxmlformats.org/officeDocument/2006/relationships/image" Target="media/image4.png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