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900"/>
        </w:tabs>
        <w:rPr/>
        <w:sectPr>
          <w:headerReference r:id="rId6" w:type="default"/>
          <w:headerReference r:id="rId7" w:type="first"/>
          <w:footerReference r:id="rId8" w:type="default"/>
          <w:footerReference r:id="rId9" w:type="first"/>
          <w:pgSz w:h="16838" w:w="11906" w:orient="portrait"/>
          <w:pgMar w:bottom="170" w:top="170" w:left="170" w:right="170" w:header="0" w:footer="0"/>
          <w:pgNumType w:start="1"/>
        </w:sectPr>
      </w:pPr>
      <w:r w:rsidDel="00000000" w:rsidR="00000000" w:rsidRPr="00000000">
        <w:rPr/>
        <w:drawing>
          <wp:anchor allowOverlap="1" behindDoc="0" distB="0" distT="0" distL="114300" distR="114300" hidden="0" layoutInCell="1" locked="0" relativeHeight="0" simplePos="0">
            <wp:simplePos x="0" y="0"/>
            <wp:positionH relativeFrom="margin">
              <wp:posOffset>-142238</wp:posOffset>
            </wp:positionH>
            <wp:positionV relativeFrom="margin">
              <wp:posOffset>-239393</wp:posOffset>
            </wp:positionV>
            <wp:extent cx="7625715" cy="10782300"/>
            <wp:effectExtent b="0" l="0" r="0" t="0"/>
            <wp:wrapSquare wrapText="bothSides" distB="0" distT="0" distL="114300" distR="114300"/>
            <wp:docPr descr="Shape&#10;&#10;Description automatically generated" id="5" name="image1.png"/>
            <a:graphic>
              <a:graphicData uri="http://schemas.openxmlformats.org/drawingml/2006/picture">
                <pic:pic>
                  <pic:nvPicPr>
                    <pic:cNvPr descr="Shape&#10;&#10;Description automatically generated" id="0" name="image1.png"/>
                    <pic:cNvPicPr preferRelativeResize="0"/>
                  </pic:nvPicPr>
                  <pic:blipFill>
                    <a:blip r:embed="rId10"/>
                    <a:srcRect b="0" l="0" r="0" t="0"/>
                    <a:stretch>
                      <a:fillRect/>
                    </a:stretch>
                  </pic:blipFill>
                  <pic:spPr>
                    <a:xfrm>
                      <a:off x="0" y="0"/>
                      <a:ext cx="7625715" cy="1078230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1562100</wp:posOffset>
                </wp:positionH>
                <wp:positionV relativeFrom="paragraph">
                  <wp:posOffset>1988820</wp:posOffset>
                </wp:positionV>
                <wp:extent cx="5378450" cy="2193925"/>
                <wp:effectExtent b="0" l="0" r="0" t="0"/>
                <wp:wrapSquare wrapText="bothSides" distB="45720" distT="45720" distL="114300" distR="114300"/>
                <wp:docPr id="2" name=""/>
                <a:graphic>
                  <a:graphicData uri="http://schemas.microsoft.com/office/word/2010/wordprocessingShape">
                    <wps:wsp>
                      <wps:cNvSpPr/>
                      <wps:cNvPr id="3" name="Shape 3"/>
                      <wps:spPr>
                        <a:xfrm>
                          <a:off x="2661538" y="2687800"/>
                          <a:ext cx="5368925" cy="218440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vertAlign w:val="baseline"/>
                              </w:rPr>
                              <w:t xml:space="preserve">Vícejazyčné kompetence prostřednictvím umění</w:t>
                            </w:r>
                            <w:r w:rsidDel="00000000" w:rsidR="00000000" w:rsidRPr="00000000">
                              <w:rPr>
                                <w:rFonts w:ascii="Bebas Neue" w:cs="Bebas Neue" w:eastAsia="Bebas Neue" w:hAnsi="Bebas Neue"/>
                                <w:b w:val="0"/>
                                <w:i w:val="0"/>
                                <w:smallCaps w:val="0"/>
                                <w:strike w:val="0"/>
                                <w:color w:val="f5b335"/>
                                <w:sz w:val="72"/>
                                <w:highlight w:val="yellow"/>
                                <w:vertAlign w:val="baseline"/>
                              </w:rPr>
                              <w:t xml:space="preserve"> </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Bebas Neue" w:cs="Bebas Neue" w:eastAsia="Bebas Neue" w:hAnsi="Bebas Neue"/>
                                <w:b w:val="0"/>
                                <w:i w:val="0"/>
                                <w:smallCaps w:val="0"/>
                                <w:strike w:val="0"/>
                                <w:color w:val="f5b335"/>
                                <w:sz w:val="72"/>
                                <w:highlight w:val="yellow"/>
                                <w:vertAlign w:val="baseline"/>
                              </w:rPr>
                            </w:r>
                            <w:r w:rsidDel="00000000" w:rsidR="00000000" w:rsidRPr="00000000">
                              <w:rPr>
                                <w:rFonts w:ascii="Bebas Neue" w:cs="Bebas Neue" w:eastAsia="Bebas Neue" w:hAnsi="Bebas Neue"/>
                                <w:b w:val="0"/>
                                <w:i w:val="0"/>
                                <w:smallCaps w:val="0"/>
                                <w:strike w:val="0"/>
                                <w:color w:val="000000"/>
                                <w:sz w:val="64"/>
                                <w:vertAlign w:val="baseline"/>
                              </w:rPr>
                              <w:t xml:space="preserve">Handout pro studenty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1562100</wp:posOffset>
                </wp:positionH>
                <wp:positionV relativeFrom="paragraph">
                  <wp:posOffset>1988820</wp:posOffset>
                </wp:positionV>
                <wp:extent cx="5378450" cy="2193925"/>
                <wp:effectExtent b="0" l="0" r="0" t="0"/>
                <wp:wrapSquare wrapText="bothSides" distB="45720" distT="45720" distL="114300" distR="114300"/>
                <wp:docPr id="2" name="image11.png"/>
                <a:graphic>
                  <a:graphicData uri="http://schemas.openxmlformats.org/drawingml/2006/picture">
                    <pic:pic>
                      <pic:nvPicPr>
                        <pic:cNvPr id="0" name="image11.png"/>
                        <pic:cNvPicPr preferRelativeResize="0"/>
                      </pic:nvPicPr>
                      <pic:blipFill>
                        <a:blip r:embed="rId11"/>
                        <a:srcRect/>
                        <a:stretch>
                          <a:fillRect/>
                        </a:stretch>
                      </pic:blipFill>
                      <pic:spPr>
                        <a:xfrm>
                          <a:off x="0" y="0"/>
                          <a:ext cx="5378450" cy="2193925"/>
                        </a:xfrm>
                        <a:prstGeom prst="rect"/>
                        <a:ln/>
                      </pic:spPr>
                    </pic:pic>
                  </a:graphicData>
                </a:graphic>
              </wp:anchor>
            </w:drawing>
          </mc:Fallback>
        </mc:AlternateContent>
      </w:r>
    </w:p>
    <w:p w:rsidR="00000000" w:rsidDel="00000000" w:rsidP="00000000" w:rsidRDefault="00000000" w:rsidRPr="00000000" w14:paraId="00000002">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Obsah</w:t>
      </w:r>
    </w:p>
    <w:sdt>
      <w:sdtPr>
        <w:docPartObj>
          <w:docPartGallery w:val="Table of Contents"/>
          <w:docPartUnique w:val="1"/>
        </w:docPartObj>
      </w:sdtPr>
      <w:sdtContent>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Jaké druhy umění lze využít ke zlepšení jazykových kompetencí?</w:t>
              <w:tab/>
              <w:t xml:space="preserve">2</w:t>
            </w:r>
          </w:hyperlink>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Případová studie: ESL Through Art - Programy výuky angličtiny prostřednictvím umění</w:t>
              <w:tab/>
              <w:t xml:space="preserve">4</w:t>
            </w:r>
          </w:hyperlink>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Vzdělávací aktivita</w:t>
              <w:tab/>
              <w:t xml:space="preserve">6</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6"/>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Další četba nebo studijní materiály</w:t>
              <w:tab/>
              <w:t xml:space="preserve">7</w:t>
            </w:r>
          </w:hyperlink>
          <w:r w:rsidDel="00000000" w:rsidR="00000000" w:rsidRPr="00000000">
            <w:rPr>
              <w:rtl w:val="0"/>
            </w:rPr>
          </w:r>
        </w:p>
        <w:p w:rsidR="00000000" w:rsidDel="00000000" w:rsidP="00000000" w:rsidRDefault="00000000" w:rsidRPr="00000000" w14:paraId="00000007">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B">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C">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D">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E">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0F">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0">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1">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2">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3">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4">
      <w:pPr>
        <w:rPr>
          <w:rFonts w:ascii="Bebas Neue" w:cs="Bebas Neue" w:eastAsia="Bebas Neue" w:hAnsi="Bebas Neue"/>
          <w:color w:val="ff9900"/>
          <w:sz w:val="56"/>
          <w:szCs w:val="56"/>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Heading1"/>
        <w:rPr/>
      </w:pPr>
      <w:bookmarkStart w:colFirst="0" w:colLast="0" w:name="_gjdgxs" w:id="0"/>
      <w:bookmarkEnd w:id="0"/>
      <w:r w:rsidDel="00000000" w:rsidR="00000000" w:rsidRPr="00000000">
        <w:rPr>
          <w:rtl w:val="0"/>
        </w:rPr>
        <w:t xml:space="preserve">Jaké druhy umění lze využít ke zlepšení jazykových kompetencí?</w:t>
      </w:r>
    </w:p>
    <w:p w:rsidR="00000000" w:rsidDel="00000000" w:rsidP="00000000" w:rsidRDefault="00000000" w:rsidRPr="00000000" w14:paraId="00000019">
      <w:pPr>
        <w:jc w:val="both"/>
        <w:rPr>
          <w:b w:val="1"/>
          <w:sz w:val="24"/>
          <w:szCs w:val="24"/>
        </w:rPr>
      </w:pPr>
      <w:r w:rsidDel="00000000" w:rsidR="00000000" w:rsidRPr="00000000">
        <w:rPr>
          <w:sz w:val="24"/>
          <w:szCs w:val="24"/>
          <w:rtl w:val="0"/>
        </w:rPr>
        <w:t xml:space="preserve">Pokud jde o učení jazyků, může platit staré rčení: obrázek vydá za tisíc slov. Umění jako vyjádření myšlenek a emocí prostřednictvím fyzického média lze využít ke zlepšení jazykových kompetencí. Tímto fyzickým prostředkem může být výtvarné umění, hudba, drama, poezie, film, tvůrčí psaní a digitální média. Začlenění umění do výuky jazyků může vést k tvůrčímu a poutavějšímu procesu, který může zlepšit osvojování jazyka, kulturní porozumění a osobní vyjádření. Zde je několik příkladů různých druhů umění, které lze využít ke zlepšení jazykových kompetencí.</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114300</wp:posOffset>
            </wp:positionV>
            <wp:extent cx="1924402" cy="1183592"/>
            <wp:effectExtent b="0" l="0" r="0" t="0"/>
            <wp:wrapSquare wrapText="bothSides" distB="114300" distT="114300" distL="114300" distR="114300"/>
            <wp:docPr id="1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924402" cy="1183592"/>
                    </a:xfrm>
                    <a:prstGeom prst="rect"/>
                    <a:ln/>
                  </pic:spPr>
                </pic:pic>
              </a:graphicData>
            </a:graphic>
          </wp:anchor>
        </w:drawing>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Jedním ze způsobů, jak začlenit umění do výuky jazyků, je hudba a tanec. Poslech písní v cizím jazyce pomáhá zlepšit poslech, porozumění a výslovnost. Zpěv písní může rozšířit slovní zásobu, gramatiku a intonaci. Můžete také diskutovat a analyzovat texty písní a porozumět kulturním pojmům obsaženým v textech.</w:t>
      </w:r>
    </w:p>
    <w:p w:rsidR="00000000" w:rsidDel="00000000" w:rsidP="00000000" w:rsidRDefault="00000000" w:rsidRPr="00000000" w14:paraId="0000001B">
      <w:pPr>
        <w:jc w:val="both"/>
        <w:rPr>
          <w:b w:val="1"/>
          <w:sz w:val="24"/>
          <w:szCs w:val="24"/>
        </w:rPr>
      </w:pPr>
      <w:r w:rsidDel="00000000" w:rsidR="00000000" w:rsidRPr="00000000">
        <w:rPr>
          <w:sz w:val="24"/>
          <w:szCs w:val="24"/>
          <w:rtl w:val="0"/>
        </w:rPr>
        <w:t xml:space="preserve">Při kombinaci výuky jazyků a výtvarných forem umění, jako jsou malby, kresby a fotografie, můžete popisovat a diskutovat o vizuální stránce, identifikovat a pojmenovávat předměty, barvy a tvary a vyjadřovat emoce nebo vyprávět prostřednictvím umělecké interpretace. Vizuální umění lze také využít k vytvoření vizuálních pomůcek pro výuku slovní zásoby nebo pro vyprávění příběhů.</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3616650</wp:posOffset>
            </wp:positionH>
            <wp:positionV relativeFrom="paragraph">
              <wp:posOffset>914400</wp:posOffset>
            </wp:positionV>
            <wp:extent cx="2109788" cy="1573579"/>
            <wp:effectExtent b="0" l="0" r="0" t="0"/>
            <wp:wrapSquare wrapText="bothSides" distB="114300" distT="114300" distL="114300" distR="11430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2109788" cy="1573579"/>
                    </a:xfrm>
                    <a:prstGeom prst="rect"/>
                    <a:ln/>
                  </pic:spPr>
                </pic:pic>
              </a:graphicData>
            </a:graphic>
          </wp:anchor>
        </w:drawing>
      </w:r>
    </w:p>
    <w:p w:rsidR="00000000" w:rsidDel="00000000" w:rsidP="00000000" w:rsidRDefault="00000000" w:rsidRPr="00000000" w14:paraId="0000001C">
      <w:pPr>
        <w:jc w:val="both"/>
        <w:rPr>
          <w:sz w:val="24"/>
          <w:szCs w:val="24"/>
        </w:rPr>
      </w:pPr>
      <w:r w:rsidDel="00000000" w:rsidR="00000000" w:rsidRPr="00000000">
        <w:rPr>
          <w:sz w:val="24"/>
          <w:szCs w:val="24"/>
          <w:rtl w:val="0"/>
        </w:rPr>
        <w:t xml:space="preserve">Dramatické a divadelní umění může významně přispět k výuce cizích jazyků - můžete si zlepšit své mluvní a poslechové dovednosti a zároveň posílit sebevědomí a kreativitu. Předváděním dialogů, monologů, hraní rolí nebo krátkých divadelních her si můžete procvičit výslovnost, intonaci a vyjadřování emocí. </w:t>
      </w:r>
    </w:p>
    <w:p w:rsidR="00000000" w:rsidDel="00000000" w:rsidP="00000000" w:rsidRDefault="00000000" w:rsidRPr="00000000" w14:paraId="0000001D">
      <w:pPr>
        <w:jc w:val="both"/>
        <w:rPr>
          <w:sz w:val="24"/>
          <w:szCs w:val="24"/>
        </w:rPr>
      </w:pPr>
      <w:r w:rsidDel="00000000" w:rsidR="00000000" w:rsidRPr="00000000">
        <w:rPr>
          <w:sz w:val="24"/>
          <w:szCs w:val="24"/>
          <w:rtl w:val="0"/>
        </w:rPr>
        <w:t xml:space="preserve">Analýzou básní, povídek a románů lze také usnadnit učení se jazykům a rozšiřování slovní zásoby. Můžete také diskutovat o tématech, postavách a literárních technikách.</w:t>
      </w:r>
    </w:p>
    <w:p w:rsidR="00000000" w:rsidDel="00000000" w:rsidP="00000000" w:rsidRDefault="00000000" w:rsidRPr="00000000" w14:paraId="0000001E">
      <w:pPr>
        <w:jc w:val="both"/>
        <w:rPr>
          <w:sz w:val="24"/>
          <w:szCs w:val="24"/>
        </w:rPr>
      </w:pPr>
      <w:r w:rsidDel="00000000" w:rsidR="00000000" w:rsidRPr="00000000">
        <w:rPr>
          <w:sz w:val="24"/>
          <w:szCs w:val="24"/>
          <w:rtl w:val="0"/>
        </w:rPr>
        <w:t xml:space="preserve">Filmy a vizuální média jsou odjakživa skvělým nástrojem při výuce jazyků - při sledování autentického audiovizuálního obsahu si můžete procvičovat poslechové dovednosti a osvojování slovní zásoby a můžete si také pomoci používáním titulků. Můžete také diskutovat o ději a postavách, prohlubovat své kulturní znalosti a procvičovat kritické myšlení. </w:t>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Zapojení do tvůrčího psaní a psaní deníku vám poskytne spoustu příležitostí k procvičování dovedností psaní, rozšiřování slovní zásoby a vyjadřování svých myšlenek a zkušeností. Vyberte si téma, které vás zajímá, a pište krátké příběhy, eseje a osobní úvahy. </w:t>
      </w:r>
    </w:p>
    <w:p w:rsidR="00000000" w:rsidDel="00000000" w:rsidP="00000000" w:rsidRDefault="00000000" w:rsidRPr="00000000" w14:paraId="00000020">
      <w:pPr>
        <w:jc w:val="both"/>
        <w:rPr>
          <w:b w:val="1"/>
          <w:sz w:val="24"/>
          <w:szCs w:val="24"/>
        </w:rPr>
      </w:pPr>
      <w:r w:rsidDel="00000000" w:rsidR="00000000" w:rsidRPr="00000000">
        <w:rPr>
          <w:rtl w:val="0"/>
        </w:rPr>
      </w:r>
    </w:p>
    <w:p w:rsidR="00000000" w:rsidDel="00000000" w:rsidP="00000000" w:rsidRDefault="00000000" w:rsidRPr="00000000" w14:paraId="00000021">
      <w:pPr>
        <w:rPr>
          <w:sz w:val="24"/>
          <w:szCs w:val="24"/>
        </w:rPr>
      </w:pPr>
      <w:r w:rsidDel="00000000" w:rsidR="00000000" w:rsidRPr="00000000">
        <w:rPr>
          <w:sz w:val="24"/>
          <w:szCs w:val="24"/>
          <w:rtl w:val="0"/>
        </w:rPr>
        <w:t xml:space="preserve">Digitální rozměr můžete do výuky jazyků zapojit také prostřednictvím umění. Vytváření multimediálních prezentací, navrhování infografik, nahrávání podcastů nebo videí může usnadnit výuku jazyka a podpořit vyhledávání, organizaci a efektivní sdělování informací.</w:t>
      </w:r>
    </w:p>
    <w:p w:rsidR="00000000" w:rsidDel="00000000" w:rsidP="00000000" w:rsidRDefault="00000000" w:rsidRPr="00000000" w14:paraId="00000022">
      <w:pPr>
        <w:pStyle w:val="Heading1"/>
        <w:rPr>
          <w:sz w:val="24"/>
          <w:szCs w:val="24"/>
        </w:rPr>
      </w:pPr>
      <w:bookmarkStart w:colFirst="0" w:colLast="0" w:name="_30j0zll" w:id="1"/>
      <w:bookmarkEnd w:id="1"/>
      <w:r w:rsidDel="00000000" w:rsidR="00000000" w:rsidRPr="00000000">
        <w:rPr>
          <w:rtl w:val="0"/>
        </w:rPr>
        <w:t xml:space="preserve">Případová studie: ESL Through Art - Programy výuky angličtiny prostřednictvím umění</w:t>
      </w:r>
      <w:r w:rsidDel="00000000" w:rsidR="00000000" w:rsidRPr="00000000">
        <w:rPr>
          <w:rtl w:val="0"/>
        </w:rPr>
      </w:r>
    </w:p>
    <w:p w:rsidR="00000000" w:rsidDel="00000000" w:rsidP="00000000" w:rsidRDefault="00000000" w:rsidRPr="00000000" w14:paraId="00000023">
      <w:pPr>
        <w:jc w:val="both"/>
        <w:rPr>
          <w:sz w:val="24"/>
          <w:szCs w:val="24"/>
        </w:rPr>
      </w:pPr>
      <w:r w:rsidDel="00000000" w:rsidR="00000000" w:rsidRPr="00000000">
        <w:rPr>
          <w:rtl w:val="0"/>
        </w:rPr>
      </w:r>
    </w:p>
    <w:p w:rsidR="00000000" w:rsidDel="00000000" w:rsidP="00000000" w:rsidRDefault="00000000" w:rsidRPr="00000000" w14:paraId="00000024">
      <w:pPr>
        <w:jc w:val="both"/>
        <w:rPr>
          <w:sz w:val="24"/>
          <w:szCs w:val="24"/>
        </w:rPr>
      </w:pPr>
      <w:r w:rsidDel="00000000" w:rsidR="00000000" w:rsidRPr="00000000">
        <w:rPr>
          <w:sz w:val="24"/>
          <w:szCs w:val="24"/>
          <w:rtl w:val="0"/>
        </w:rPr>
        <w:t xml:space="preserve">Chorvatská jazyková škola Sequoia Center vytvořila speciální program výuky angličtiny prostřednictvím umění - "ESL Through Art" - s cílem řešit potřeby účastníků a překonat jejich jazykové bariéry pomocí univerzálního jazyka výtvarného umění.</w:t>
      </w:r>
      <w:r w:rsidDel="00000000" w:rsidR="00000000" w:rsidRPr="00000000">
        <w:drawing>
          <wp:anchor allowOverlap="1" behindDoc="0" distB="114300" distT="114300" distL="114300" distR="114300" hidden="0" layoutInCell="1" locked="0" relativeHeight="0" simplePos="0">
            <wp:simplePos x="0" y="0"/>
            <wp:positionH relativeFrom="column">
              <wp:posOffset>19052</wp:posOffset>
            </wp:positionH>
            <wp:positionV relativeFrom="paragraph">
              <wp:posOffset>722939</wp:posOffset>
            </wp:positionV>
            <wp:extent cx="3437484" cy="1283202"/>
            <wp:effectExtent b="0" l="0" r="0" t="0"/>
            <wp:wrapSquare wrapText="bothSides" distB="114300" distT="114300" distL="114300" distR="114300"/>
            <wp:docPr id="8"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3437484" cy="1283202"/>
                    </a:xfrm>
                    <a:prstGeom prst="rect"/>
                    <a:ln/>
                  </pic:spPr>
                </pic:pic>
              </a:graphicData>
            </a:graphic>
          </wp:anchor>
        </w:drawing>
      </w:r>
    </w:p>
    <w:p w:rsidR="00000000" w:rsidDel="00000000" w:rsidP="00000000" w:rsidRDefault="00000000" w:rsidRPr="00000000" w14:paraId="00000025">
      <w:pPr>
        <w:jc w:val="both"/>
        <w:rPr>
          <w:sz w:val="24"/>
          <w:szCs w:val="24"/>
        </w:rPr>
      </w:pPr>
      <w:r w:rsidDel="00000000" w:rsidR="00000000" w:rsidRPr="00000000">
        <w:rPr>
          <w:sz w:val="24"/>
          <w:szCs w:val="24"/>
          <w:rtl w:val="0"/>
        </w:rPr>
        <w:t xml:space="preserve">Jejich výukový program využívá umělecká díla jako katalyzátor pro zlepšení komunikačních dovedností v anglickém jazyce, osvojení si nové slovní zásoby, a co je neméně důležité, seznamuje účastníky s bohatstvím světových kultur, rozmanitostí umění a různorodými zkušenostmi.</w:t>
      </w:r>
    </w:p>
    <w:p w:rsidR="00000000" w:rsidDel="00000000" w:rsidP="00000000" w:rsidRDefault="00000000" w:rsidRPr="00000000" w14:paraId="00000026">
      <w:pPr>
        <w:jc w:val="both"/>
        <w:rPr>
          <w:sz w:val="24"/>
          <w:szCs w:val="24"/>
        </w:rPr>
      </w:pPr>
      <w:r w:rsidDel="00000000" w:rsidR="00000000" w:rsidRPr="00000000">
        <w:rPr>
          <w:sz w:val="24"/>
          <w:szCs w:val="24"/>
          <w:rtl w:val="0"/>
        </w:rPr>
        <w:t xml:space="preserve">Hlavním cílem tohoto programu není ponořit se do hlubokých analýz uměleckých děl a teorií, ale využít výtvarné umění jako nástroj pro výuku cizího jazyka, především angličtiny. Základní význam nebo poselství uměleckého díla není tak rozhodující jako nalezení zajímavých způsobů, jak využít umělecká díla pro výuku jazyka a slovní zásoby, zejména v programech určených pro začátečníky.</w:t>
      </w:r>
    </w:p>
    <w:p w:rsidR="00000000" w:rsidDel="00000000" w:rsidP="00000000" w:rsidRDefault="00000000" w:rsidRPr="00000000" w14:paraId="00000027">
      <w:pPr>
        <w:jc w:val="both"/>
        <w:rPr>
          <w:sz w:val="24"/>
          <w:szCs w:val="24"/>
        </w:rPr>
      </w:pPr>
      <w:r w:rsidDel="00000000" w:rsidR="00000000" w:rsidRPr="00000000">
        <w:rPr>
          <w:sz w:val="24"/>
          <w:szCs w:val="24"/>
          <w:rtl w:val="0"/>
        </w:rPr>
        <w:t xml:space="preserve">Účastníci programu se seznámí s různými uměleckými obdobími, technikami a konkrétními uměleckými díly, ale nemusí jim vždy plně porozumět. Proces pozorování uměleckých děl jim poskytne referenční body pro osvojení si znalostí cizího jazyka - gramatiky, slovní zásoby a nakonec i schopnosti volně komunikovat v cizím jazyce, především v angličtině.</w:t>
      </w:r>
      <w:r w:rsidDel="00000000" w:rsidR="00000000" w:rsidRPr="00000000">
        <w:drawing>
          <wp:anchor allowOverlap="1" behindDoc="0" distB="114300" distT="114300" distL="114300" distR="114300" hidden="0" layoutInCell="1" locked="0" relativeHeight="0" simplePos="0">
            <wp:simplePos x="0" y="0"/>
            <wp:positionH relativeFrom="column">
              <wp:posOffset>3457575</wp:posOffset>
            </wp:positionH>
            <wp:positionV relativeFrom="paragraph">
              <wp:posOffset>1085850</wp:posOffset>
            </wp:positionV>
            <wp:extent cx="2560749" cy="1280375"/>
            <wp:effectExtent b="0" l="0" r="0" t="0"/>
            <wp:wrapSquare wrapText="bothSides" distB="114300" distT="114300" distL="114300" distR="114300"/>
            <wp:docPr id="3"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2560749" cy="1280375"/>
                    </a:xfrm>
                    <a:prstGeom prst="rect"/>
                    <a:ln/>
                  </pic:spPr>
                </pic:pic>
              </a:graphicData>
            </a:graphic>
          </wp:anchor>
        </w:drawing>
      </w:r>
    </w:p>
    <w:p w:rsidR="00000000" w:rsidDel="00000000" w:rsidP="00000000" w:rsidRDefault="00000000" w:rsidRPr="00000000" w14:paraId="00000028">
      <w:pPr>
        <w:jc w:val="both"/>
        <w:rPr>
          <w:sz w:val="24"/>
          <w:szCs w:val="24"/>
        </w:rPr>
      </w:pPr>
      <w:r w:rsidDel="00000000" w:rsidR="00000000" w:rsidRPr="00000000">
        <w:rPr>
          <w:sz w:val="24"/>
          <w:szCs w:val="24"/>
          <w:rtl w:val="0"/>
        </w:rPr>
        <w:t xml:space="preserve">Na základě svých dosavadních znalostí si účastníci zlepší jazykové znalosti a komunikační dovednosti v cizím jazyce, rovnoměrně rozvinou písemné i mluvené prvky anglického jazyka, zažijí relevantní a smysluplný proces učení, posílí důvěru v sebe sama, své jazykové schopnosti a obecné kulturní znalosti, podnítí svou kreativitu a podpoří kritické myšlení o světě kolem sebe, pěstují si úctu k historii, umění a krásám v našem okolí, učí se rozpoznávat podobnosti a rozdíly, zaměřují se na interpretaci a sdělování různých myšlenek a názorů, baví se v uvolněném prostředí a poznávají nové lidi, kteří sdílejí zájem o seberozvoj a neustálé vzdělávání, a navštěvují muzea v Záhřebu a učí se anglicky při prohlídce uměleckých exponátů.</w:t>
      </w:r>
    </w:p>
    <w:p w:rsidR="00000000" w:rsidDel="00000000" w:rsidP="00000000" w:rsidRDefault="00000000" w:rsidRPr="00000000" w14:paraId="00000029">
      <w:pPr>
        <w:jc w:val="both"/>
        <w:rPr>
          <w:sz w:val="24"/>
          <w:szCs w:val="24"/>
        </w:rPr>
      </w:pPr>
      <w:r w:rsidDel="00000000" w:rsidR="00000000" w:rsidRPr="00000000">
        <w:rPr>
          <w:rtl w:val="0"/>
        </w:rPr>
      </w:r>
    </w:p>
    <w:p w:rsidR="00000000" w:rsidDel="00000000" w:rsidP="00000000" w:rsidRDefault="00000000" w:rsidRPr="00000000" w14:paraId="0000002A">
      <w:pPr>
        <w:jc w:val="both"/>
        <w:rPr>
          <w:b w:val="1"/>
          <w:sz w:val="24"/>
          <w:szCs w:val="24"/>
        </w:rPr>
      </w:pPr>
      <w:r w:rsidDel="00000000" w:rsidR="00000000" w:rsidRPr="00000000">
        <w:rPr>
          <w:b w:val="1"/>
          <w:sz w:val="24"/>
          <w:szCs w:val="24"/>
          <w:rtl w:val="0"/>
        </w:rPr>
        <w:t xml:space="preserve">Otázky</w:t>
      </w:r>
    </w:p>
    <w:p w:rsidR="00000000" w:rsidDel="00000000" w:rsidP="00000000" w:rsidRDefault="00000000" w:rsidRPr="00000000" w14:paraId="0000002B">
      <w:pPr>
        <w:numPr>
          <w:ilvl w:val="0"/>
          <w:numId w:val="2"/>
        </w:numPr>
        <w:ind w:left="720" w:hanging="360"/>
        <w:jc w:val="both"/>
        <w:rPr>
          <w:sz w:val="24"/>
          <w:szCs w:val="24"/>
        </w:rPr>
      </w:pPr>
      <w:r w:rsidDel="00000000" w:rsidR="00000000" w:rsidRPr="00000000">
        <w:rPr>
          <w:sz w:val="24"/>
          <w:szCs w:val="24"/>
          <w:rtl w:val="0"/>
        </w:rPr>
        <w:t xml:space="preserve">Jak se Centrum Sequoia snaží zlepšit vícejazyčné dovednosti studentů ve svých kurzech?</w:t>
      </w:r>
    </w:p>
    <w:p w:rsidR="00000000" w:rsidDel="00000000" w:rsidP="00000000" w:rsidRDefault="00000000" w:rsidRPr="00000000" w14:paraId="0000002C">
      <w:pPr>
        <w:spacing w:line="360" w:lineRule="auto"/>
        <w:ind w:left="720" w:firstLine="0"/>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D">
      <w:pPr>
        <w:numPr>
          <w:ilvl w:val="0"/>
          <w:numId w:val="2"/>
        </w:numPr>
        <w:ind w:left="720" w:hanging="360"/>
        <w:jc w:val="both"/>
        <w:rPr>
          <w:sz w:val="24"/>
          <w:szCs w:val="24"/>
        </w:rPr>
      </w:pPr>
      <w:r w:rsidDel="00000000" w:rsidR="00000000" w:rsidRPr="00000000">
        <w:rPr>
          <w:sz w:val="24"/>
          <w:szCs w:val="24"/>
          <w:rtl w:val="0"/>
        </w:rPr>
        <w:t xml:space="preserve">Myslíte si, že metoda Sequoia Centra funguje lépe než výuka jazyka v tradiční třídě?</w:t>
      </w:r>
    </w:p>
    <w:p w:rsidR="00000000" w:rsidDel="00000000" w:rsidP="00000000" w:rsidRDefault="00000000" w:rsidRPr="00000000" w14:paraId="0000002E">
      <w:pPr>
        <w:spacing w:line="360" w:lineRule="auto"/>
        <w:ind w:left="720" w:firstLine="0"/>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2F">
      <w:pPr>
        <w:numPr>
          <w:ilvl w:val="0"/>
          <w:numId w:val="2"/>
        </w:numPr>
        <w:ind w:left="720" w:hanging="360"/>
        <w:jc w:val="both"/>
        <w:rPr>
          <w:sz w:val="24"/>
          <w:szCs w:val="24"/>
        </w:rPr>
      </w:pPr>
      <w:r w:rsidDel="00000000" w:rsidR="00000000" w:rsidRPr="00000000">
        <w:rPr>
          <w:sz w:val="24"/>
          <w:szCs w:val="24"/>
          <w:rtl w:val="0"/>
        </w:rPr>
        <w:t xml:space="preserve">Jak si myslíte, že byste mohli zlepšit své vícejazyčné dovednosti pomocí umění?</w:t>
      </w:r>
    </w:p>
    <w:p w:rsidR="00000000" w:rsidDel="00000000" w:rsidP="00000000" w:rsidRDefault="00000000" w:rsidRPr="00000000" w14:paraId="00000030">
      <w:pPr>
        <w:spacing w:line="360" w:lineRule="auto"/>
        <w:ind w:left="720" w:firstLine="0"/>
        <w:jc w:val="both"/>
        <w:rPr>
          <w:sz w:val="24"/>
          <w:szCs w:val="24"/>
        </w:rPr>
      </w:pPr>
      <w:r w:rsidDel="00000000" w:rsidR="00000000" w:rsidRPr="00000000">
        <w:rPr>
          <w:sz w:val="24"/>
          <w:szCs w:val="24"/>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31">
      <w:pPr>
        <w:spacing w:line="360" w:lineRule="auto"/>
        <w:ind w:left="720" w:firstLine="0"/>
        <w:jc w:val="both"/>
        <w:rPr>
          <w:sz w:val="24"/>
          <w:szCs w:val="24"/>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rFonts w:ascii="Calibri" w:cs="Calibri" w:eastAsia="Calibri" w:hAnsi="Calibri"/>
          <w:color w:val="225c9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34">
      <w:pPr>
        <w:pStyle w:val="Heading1"/>
        <w:rPr/>
      </w:pPr>
      <w:bookmarkStart w:colFirst="0" w:colLast="0" w:name="_1fob9te" w:id="2"/>
      <w:bookmarkEnd w:id="2"/>
      <w:r w:rsidDel="00000000" w:rsidR="00000000" w:rsidRPr="00000000">
        <w:rPr>
          <w:rtl w:val="0"/>
        </w:rPr>
        <w:t xml:space="preserve">Vzdělávací aktivita</w:t>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highlight w:val="yellow"/>
        </w:rPr>
      </w:pPr>
      <w:r w:rsidDel="00000000" w:rsidR="00000000" w:rsidRPr="00000000">
        <w:rPr>
          <w:rtl w:val="0"/>
        </w:rPr>
      </w:r>
    </w:p>
    <w:tbl>
      <w:tblPr>
        <w:tblStyle w:val="Table1"/>
        <w:tblW w:w="922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838"/>
        <w:gridCol w:w="2693"/>
        <w:gridCol w:w="1560"/>
        <w:gridCol w:w="3133"/>
        <w:tblGridChange w:id="0">
          <w:tblGrid>
            <w:gridCol w:w="1838"/>
            <w:gridCol w:w="2693"/>
            <w:gridCol w:w="1560"/>
            <w:gridCol w:w="3133"/>
          </w:tblGrid>
        </w:tblGridChange>
      </w:tblGrid>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36">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Téma </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Vícejazyčné kompetence prostřednictvím umění</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3A">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Název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B">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Vícejazyčná umělecká koláž</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3E">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Typ zdroje</w:t>
            </w:r>
          </w:p>
        </w:tc>
        <w:tc>
          <w:tcPr>
            <w:gridSpan w:val="3"/>
            <w:tcBorders>
              <w:top w:color="000000" w:space="0" w:sz="4" w:val="single"/>
              <w:left w:color="000000" w:space="0" w:sz="4" w:val="single"/>
              <w:bottom w:color="000000" w:space="0" w:sz="4" w:val="single"/>
              <w:right w:color="000000" w:space="0" w:sz="4" w:val="single"/>
            </w:tcBorders>
            <w:shd w:fill="ededed" w:val="clear"/>
            <w:tcMar>
              <w:top w:w="80.0" w:type="dxa"/>
              <w:left w:w="80.0" w:type="dxa"/>
              <w:bottom w:w="80.0" w:type="dxa"/>
              <w:right w:w="80.0" w:type="dxa"/>
            </w:tcMar>
            <w:vAlign w:val="center"/>
          </w:tcPr>
          <w:p w:rsidR="00000000" w:rsidDel="00000000" w:rsidP="00000000" w:rsidRDefault="00000000" w:rsidRPr="00000000" w14:paraId="0000003F">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Vzdělávací aktivita</w:t>
            </w: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2">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Foto</w:t>
            </w:r>
          </w:p>
        </w:tc>
        <w:tc>
          <w:tcPr>
            <w:gridSpan w:val="3"/>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vAlign w:val="center"/>
          </w:tcPr>
          <w:p w:rsidR="00000000" w:rsidDel="00000000" w:rsidP="00000000" w:rsidRDefault="00000000" w:rsidRPr="00000000" w14:paraId="00000043">
            <w:pPr>
              <w:pBdr>
                <w:top w:color="000000" w:space="0" w:sz="0" w:val="none"/>
                <w:left w:color="000000" w:space="0" w:sz="0" w:val="none"/>
                <w:bottom w:color="000000" w:space="0" w:sz="0" w:val="none"/>
                <w:right w:color="000000" w:space="0" w:sz="0" w:val="none"/>
              </w:pBdr>
              <w:jc w:val="both"/>
              <w:rPr/>
            </w:pPr>
            <w:r w:rsidDel="00000000" w:rsidR="00000000" w:rsidRPr="00000000">
              <w:rPr/>
              <w:drawing>
                <wp:inline distB="114300" distT="114300" distL="114300" distR="114300">
                  <wp:extent cx="4433888" cy="3325416"/>
                  <wp:effectExtent b="0" l="0" r="0" t="0"/>
                  <wp:docPr id="6"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4433888" cy="3325416"/>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pBdr>
                <w:top w:color="000000" w:space="0" w:sz="0" w:val="none"/>
                <w:left w:color="000000" w:space="0" w:sz="0" w:val="none"/>
                <w:bottom w:color="000000" w:space="0" w:sz="0" w:val="none"/>
                <w:right w:color="000000" w:space="0" w:sz="0" w:val="none"/>
              </w:pBdr>
              <w:jc w:val="center"/>
              <w:rPr>
                <w:b w:val="1"/>
                <w:color w:val="000000"/>
                <w:sz w:val="24"/>
                <w:szCs w:val="24"/>
              </w:rPr>
            </w:pPr>
            <w:r w:rsidDel="00000000" w:rsidR="00000000" w:rsidRPr="00000000">
              <w:rPr>
                <w:rtl w:val="0"/>
              </w:rPr>
            </w:r>
          </w:p>
          <w:p w:rsidR="00000000" w:rsidDel="00000000" w:rsidP="00000000" w:rsidRDefault="00000000" w:rsidRPr="00000000" w14:paraId="00000045">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rtl w:val="0"/>
              </w:rPr>
            </w:r>
          </w:p>
        </w:tc>
      </w:tr>
      <w:tr>
        <w:trPr>
          <w:cantSplit w:val="0"/>
          <w:trHeight w:val="562"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vAlign w:val="center"/>
          </w:tcPr>
          <w:p w:rsidR="00000000" w:rsidDel="00000000" w:rsidP="00000000" w:rsidRDefault="00000000" w:rsidRPr="00000000" w14:paraId="00000048">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Doba trvání</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9">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60 minut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d965" w:val="clear"/>
            <w:vAlign w:val="center"/>
          </w:tcPr>
          <w:p w:rsidR="00000000" w:rsidDel="00000000" w:rsidP="00000000" w:rsidRDefault="00000000" w:rsidRPr="00000000" w14:paraId="0000004A">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Vzdělávací výstupy </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B">
            <w:pPr>
              <w:numPr>
                <w:ilvl w:val="0"/>
                <w:numId w:val="1"/>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rPr>
                <w:sz w:val="24"/>
                <w:szCs w:val="24"/>
              </w:rPr>
            </w:pPr>
            <w:r w:rsidDel="00000000" w:rsidR="00000000" w:rsidRPr="00000000">
              <w:rPr>
                <w:sz w:val="24"/>
                <w:szCs w:val="24"/>
                <w:rtl w:val="0"/>
              </w:rPr>
              <w:t xml:space="preserve">Zkoumání mnohojazyčnosti</w:t>
            </w:r>
          </w:p>
          <w:p w:rsidR="00000000" w:rsidDel="00000000" w:rsidP="00000000" w:rsidRDefault="00000000" w:rsidRPr="00000000" w14:paraId="0000004C">
            <w:pPr>
              <w:numPr>
                <w:ilvl w:val="0"/>
                <w:numId w:val="1"/>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rPr>
                <w:sz w:val="24"/>
                <w:szCs w:val="24"/>
              </w:rPr>
            </w:pPr>
            <w:r w:rsidDel="00000000" w:rsidR="00000000" w:rsidRPr="00000000">
              <w:rPr>
                <w:sz w:val="24"/>
                <w:szCs w:val="24"/>
                <w:rtl w:val="0"/>
              </w:rPr>
              <w:t xml:space="preserve">Vyjádřit vlastní uměleckou kreativitu</w:t>
            </w:r>
          </w:p>
          <w:p w:rsidR="00000000" w:rsidDel="00000000" w:rsidP="00000000" w:rsidRDefault="00000000" w:rsidRPr="00000000" w14:paraId="0000004D">
            <w:pPr>
              <w:numPr>
                <w:ilvl w:val="0"/>
                <w:numId w:val="1"/>
              </w:numPr>
              <w:pBdr>
                <w:top w:color="000000" w:space="0" w:sz="0" w:val="none"/>
                <w:left w:color="000000" w:space="0" w:sz="0" w:val="none"/>
                <w:bottom w:color="000000" w:space="0" w:sz="0" w:val="none"/>
                <w:right w:color="000000" w:space="0" w:sz="0" w:val="none"/>
                <w:between w:space="0" w:sz="0" w:val="nil"/>
              </w:pBdr>
              <w:spacing w:after="0" w:line="240" w:lineRule="auto"/>
              <w:ind w:left="720" w:hanging="360"/>
              <w:rPr>
                <w:color w:val="000000"/>
                <w:sz w:val="24"/>
                <w:szCs w:val="24"/>
              </w:rPr>
            </w:pPr>
            <w:r w:rsidDel="00000000" w:rsidR="00000000" w:rsidRPr="00000000">
              <w:rPr>
                <w:sz w:val="24"/>
                <w:szCs w:val="24"/>
                <w:rtl w:val="0"/>
              </w:rPr>
              <w:t xml:space="preserve">Zamyslet se nad jazykem</w:t>
            </w:r>
            <w:r w:rsidDel="00000000" w:rsidR="00000000" w:rsidRPr="00000000">
              <w:rPr>
                <w:rtl w:val="0"/>
              </w:rPr>
            </w:r>
          </w:p>
        </w:tc>
      </w:tr>
      <w:tr>
        <w:trPr>
          <w:cantSplit w:val="0"/>
          <w:trHeight w:val="1347" w:hRule="atLeast"/>
          <w:tblHeader w:val="0"/>
        </w:trPr>
        <w:tc>
          <w:tcPr>
            <w:tcBorders>
              <w:top w:color="000000" w:space="0" w:sz="4" w:val="single"/>
              <w:left w:color="000000" w:space="0" w:sz="4" w:val="single"/>
              <w:bottom w:color="000000" w:space="0" w:sz="0" w:val="nil"/>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4E">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Cíl aktivity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4F">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sz w:val="24"/>
                <w:szCs w:val="24"/>
                <w:rtl w:val="0"/>
              </w:rPr>
              <w:t xml:space="preserve">Prozkoumat a oslavit rozmanitost jazyků a kultur prostřednictvím umění vytvořením vícejazyčné koláže.</w:t>
            </w:r>
            <w:r w:rsidDel="00000000" w:rsidR="00000000" w:rsidRPr="00000000">
              <w:rPr>
                <w:rtl w:val="0"/>
              </w:rPr>
            </w:r>
          </w:p>
        </w:tc>
      </w:tr>
      <w:tr>
        <w:trPr>
          <w:cantSplit w:val="0"/>
          <w:trHeight w:val="1347" w:hRule="atLeast"/>
          <w:tblHeader w:val="0"/>
        </w:trPr>
        <w:tc>
          <w:tcPr>
            <w:tcBorders>
              <w:top w:color="000000" w:space="0" w:sz="0" w:val="nil"/>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2">
            <w:pPr>
              <w:pBdr>
                <w:top w:color="000000" w:space="0" w:sz="0" w:val="none"/>
                <w:left w:color="000000" w:space="0" w:sz="0" w:val="none"/>
                <w:bottom w:color="000000" w:space="0" w:sz="0" w:val="none"/>
                <w:right w:color="000000" w:space="0" w:sz="0" w:val="none"/>
              </w:pBdr>
              <w:jc w:val="both"/>
              <w:rPr>
                <w:b w:val="1"/>
                <w:color w:val="000000"/>
                <w:sz w:val="24"/>
                <w:szCs w:val="24"/>
              </w:rPr>
            </w:pPr>
            <w:r w:rsidDel="00000000" w:rsidR="00000000" w:rsidRPr="00000000">
              <w:rPr>
                <w:b w:val="1"/>
                <w:color w:val="000000"/>
                <w:sz w:val="24"/>
                <w:szCs w:val="24"/>
                <w:rtl w:val="0"/>
              </w:rPr>
              <w:t xml:space="preserve">Materiály potřebné k činnosti</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3">
            <w:pPr>
              <w:numPr>
                <w:ilvl w:val="0"/>
                <w:numId w:val="3"/>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Časopisy a noviny v různých jazycích</w:t>
            </w:r>
          </w:p>
          <w:p w:rsidR="00000000" w:rsidDel="00000000" w:rsidP="00000000" w:rsidRDefault="00000000" w:rsidRPr="00000000" w14:paraId="00000054">
            <w:pPr>
              <w:numPr>
                <w:ilvl w:val="0"/>
                <w:numId w:val="3"/>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Nůžky</w:t>
            </w:r>
          </w:p>
          <w:p w:rsidR="00000000" w:rsidDel="00000000" w:rsidP="00000000" w:rsidRDefault="00000000" w:rsidRPr="00000000" w14:paraId="00000055">
            <w:pPr>
              <w:numPr>
                <w:ilvl w:val="0"/>
                <w:numId w:val="3"/>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Lepidlo nebo lepicí páska</w:t>
            </w:r>
          </w:p>
          <w:p w:rsidR="00000000" w:rsidDel="00000000" w:rsidP="00000000" w:rsidRDefault="00000000" w:rsidRPr="00000000" w14:paraId="00000056">
            <w:pPr>
              <w:numPr>
                <w:ilvl w:val="0"/>
                <w:numId w:val="3"/>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Velký plakát nebo plátno</w:t>
            </w:r>
          </w:p>
          <w:p w:rsidR="00000000" w:rsidDel="00000000" w:rsidP="00000000" w:rsidRDefault="00000000" w:rsidRPr="00000000" w14:paraId="00000057">
            <w:pPr>
              <w:numPr>
                <w:ilvl w:val="0"/>
                <w:numId w:val="3"/>
              </w:numPr>
              <w:pBdr>
                <w:top w:space="0" w:sz="0" w:val="nil"/>
                <w:left w:space="0" w:sz="0" w:val="nil"/>
                <w:bottom w:space="0" w:sz="0" w:val="nil"/>
                <w:right w:space="0" w:sz="0" w:val="nil"/>
                <w:between w:space="0" w:sz="0" w:val="nil"/>
              </w:pBdr>
              <w:spacing w:after="0" w:line="240" w:lineRule="auto"/>
              <w:ind w:left="1440" w:hanging="360"/>
              <w:jc w:val="both"/>
              <w:rPr>
                <w:color w:val="0e101a"/>
                <w:sz w:val="24"/>
                <w:szCs w:val="24"/>
              </w:rPr>
            </w:pPr>
            <w:r w:rsidDel="00000000" w:rsidR="00000000" w:rsidRPr="00000000">
              <w:rPr>
                <w:color w:val="0e101a"/>
                <w:sz w:val="24"/>
                <w:szCs w:val="24"/>
                <w:rtl w:val="0"/>
              </w:rPr>
              <w:t xml:space="preserve">fixy nebo pera</w:t>
            </w:r>
          </w:p>
        </w:tc>
      </w:tr>
      <w:tr>
        <w:trPr>
          <w:cantSplit w:val="0"/>
          <w:trHeight w:val="1550" w:hRule="atLeast"/>
          <w:tblHeader w:val="0"/>
        </w:trPr>
        <w:tc>
          <w:tcPr>
            <w:tcBorders>
              <w:top w:color="000000" w:space="0" w:sz="4" w:val="single"/>
              <w:left w:color="000000" w:space="0" w:sz="4" w:val="single"/>
              <w:bottom w:color="000000" w:space="0" w:sz="4" w:val="single"/>
              <w:right w:color="000000" w:space="0" w:sz="4" w:val="single"/>
            </w:tcBorders>
            <w:shd w:fill="ffd965" w:val="clear"/>
            <w:tcMar>
              <w:top w:w="80.0" w:type="dxa"/>
              <w:left w:w="80.0" w:type="dxa"/>
              <w:bottom w:w="80.0" w:type="dxa"/>
              <w:right w:w="80.0" w:type="dxa"/>
            </w:tcMar>
          </w:tcPr>
          <w:p w:rsidR="00000000" w:rsidDel="00000000" w:rsidP="00000000" w:rsidRDefault="00000000" w:rsidRPr="00000000" w14:paraId="0000005A">
            <w:pPr>
              <w:pBdr>
                <w:top w:color="000000" w:space="0" w:sz="0" w:val="none"/>
                <w:left w:color="000000" w:space="0" w:sz="0" w:val="none"/>
                <w:bottom w:color="000000" w:space="0" w:sz="0" w:val="none"/>
                <w:right w:color="000000" w:space="0" w:sz="0" w:val="none"/>
              </w:pBdr>
              <w:jc w:val="both"/>
              <w:rPr>
                <w:color w:val="000000"/>
                <w:sz w:val="24"/>
                <w:szCs w:val="24"/>
              </w:rPr>
            </w:pPr>
            <w:r w:rsidDel="00000000" w:rsidR="00000000" w:rsidRPr="00000000">
              <w:rPr>
                <w:b w:val="1"/>
                <w:color w:val="000000"/>
                <w:sz w:val="24"/>
                <w:szCs w:val="24"/>
                <w:rtl w:val="0"/>
              </w:rPr>
              <w:t xml:space="preserve">Pokyny</w:t>
            </w: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05B">
            <w:pPr>
              <w:numPr>
                <w:ilvl w:val="0"/>
                <w:numId w:val="4"/>
              </w:numPr>
              <w:spacing w:after="0" w:line="360" w:lineRule="auto"/>
              <w:ind w:left="720" w:hanging="360"/>
              <w:rPr>
                <w:color w:val="0e101a"/>
                <w:sz w:val="24"/>
                <w:szCs w:val="24"/>
              </w:rPr>
            </w:pPr>
            <w:r w:rsidDel="00000000" w:rsidR="00000000" w:rsidRPr="00000000">
              <w:rPr>
                <w:color w:val="0e101a"/>
                <w:sz w:val="24"/>
                <w:szCs w:val="24"/>
                <w:rtl w:val="0"/>
              </w:rPr>
              <w:t xml:space="preserve">Krok 1: Shromážděte staré časopisy a noviny v různých jazycích a projděte si shromážděné materiály.</w:t>
            </w:r>
          </w:p>
          <w:p w:rsidR="00000000" w:rsidDel="00000000" w:rsidP="00000000" w:rsidRDefault="00000000" w:rsidRPr="00000000" w14:paraId="0000005C">
            <w:pPr>
              <w:numPr>
                <w:ilvl w:val="0"/>
                <w:numId w:val="4"/>
              </w:numPr>
              <w:spacing w:after="0" w:line="360" w:lineRule="auto"/>
              <w:ind w:left="720" w:hanging="360"/>
              <w:rPr>
                <w:color w:val="0e101a"/>
                <w:sz w:val="24"/>
                <w:szCs w:val="24"/>
              </w:rPr>
            </w:pPr>
            <w:r w:rsidDel="00000000" w:rsidR="00000000" w:rsidRPr="00000000">
              <w:rPr>
                <w:color w:val="0e101a"/>
                <w:sz w:val="24"/>
                <w:szCs w:val="24"/>
                <w:rtl w:val="0"/>
              </w:rPr>
              <w:t xml:space="preserve">Krok 2: Vyberte stránky nebo části textu, které jsou pro vás vizuálně přitažlivé, zajímavé nebo významné. Poté určete a vyberte slova, fráze nebo věty, které vás zaujmou. Hledejte různé jazyky, písma a vizuální prvky. Nebojte se, pokud nerozumíte všem slovům, soustřeďte se na zkoumání textů a oceňování estetiky a rozmanitosti jazyků.</w:t>
            </w:r>
          </w:p>
          <w:p w:rsidR="00000000" w:rsidDel="00000000" w:rsidP="00000000" w:rsidRDefault="00000000" w:rsidRPr="00000000" w14:paraId="0000005D">
            <w:pPr>
              <w:numPr>
                <w:ilvl w:val="0"/>
                <w:numId w:val="4"/>
              </w:numPr>
              <w:spacing w:after="0" w:line="360" w:lineRule="auto"/>
              <w:ind w:left="720" w:hanging="360"/>
              <w:rPr>
                <w:color w:val="0e101a"/>
                <w:sz w:val="24"/>
                <w:szCs w:val="24"/>
              </w:rPr>
            </w:pPr>
            <w:r w:rsidDel="00000000" w:rsidR="00000000" w:rsidRPr="00000000">
              <w:rPr>
                <w:color w:val="0e101a"/>
                <w:sz w:val="24"/>
                <w:szCs w:val="24"/>
                <w:rtl w:val="0"/>
              </w:rPr>
              <w:t xml:space="preserve">Krok 3: Vezměte si velký plakát nebo plátno pro uspořádání koláže. Pomocí nůžek pečlivě vystřihněte vybraná slova a fráze, přičemž si vyberte pestrou škálu jazyků. Vystřižená slova a fráze naaranžujte a nalepte/vylepte na plátno, čímž vytvoříte uměleckou kompozici. Pohrajte si s uspořádáním, popusťte uzdu své kreativitě a zvažte různé barevné kombinace, vrstvení a překrývání různých jazyků.</w:t>
            </w:r>
          </w:p>
          <w:p w:rsidR="00000000" w:rsidDel="00000000" w:rsidP="00000000" w:rsidRDefault="00000000" w:rsidRPr="00000000" w14:paraId="0000005E">
            <w:pPr>
              <w:numPr>
                <w:ilvl w:val="0"/>
                <w:numId w:val="4"/>
              </w:numPr>
              <w:spacing w:after="0" w:line="360" w:lineRule="auto"/>
              <w:ind w:left="720" w:hanging="360"/>
              <w:rPr>
                <w:color w:val="0e101a"/>
                <w:sz w:val="24"/>
                <w:szCs w:val="24"/>
              </w:rPr>
            </w:pPr>
            <w:r w:rsidDel="00000000" w:rsidR="00000000" w:rsidRPr="00000000">
              <w:rPr>
                <w:color w:val="0e101a"/>
                <w:sz w:val="24"/>
                <w:szCs w:val="24"/>
                <w:rtl w:val="0"/>
              </w:rPr>
              <w:t xml:space="preserve">Krok 4: Po dokončení se zamyslete nad svou uměleckou kompozicí a napište krátkou úvahu, myšlenky nebo příběhy související s vyobrazenými jazyky a kulturami. Vyberte si preferovaný jazyk a podělte se o své myšlenky, emoce nebo osobní vazby k zobrazeným jazykům.</w:t>
            </w:r>
          </w:p>
        </w:tc>
      </w:tr>
    </w:tbl>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pStyle w:val="Heading1"/>
        <w:rPr/>
      </w:pPr>
      <w:bookmarkStart w:colFirst="0" w:colLast="0" w:name="_3znysh7" w:id="3"/>
      <w:bookmarkEnd w:id="3"/>
      <w:r w:rsidDel="00000000" w:rsidR="00000000" w:rsidRPr="00000000">
        <w:rPr>
          <w:rtl w:val="0"/>
        </w:rPr>
      </w:r>
    </w:p>
    <w:p w:rsidR="00000000" w:rsidDel="00000000" w:rsidP="00000000" w:rsidRDefault="00000000" w:rsidRPr="00000000" w14:paraId="00000063">
      <w:pPr>
        <w:pStyle w:val="Heading1"/>
        <w:rPr/>
      </w:pPr>
      <w:bookmarkStart w:colFirst="0" w:colLast="0" w:name="_2et92p0" w:id="4"/>
      <w:bookmarkEnd w:id="4"/>
      <w:r w:rsidDel="00000000" w:rsidR="00000000" w:rsidRPr="00000000">
        <w:rPr>
          <w:rtl w:val="0"/>
        </w:rPr>
        <w:t xml:space="preserve">Další četba nebo studijní materiály</w:t>
      </w:r>
    </w:p>
    <w:p w:rsidR="00000000" w:rsidDel="00000000" w:rsidP="00000000" w:rsidRDefault="00000000" w:rsidRPr="00000000" w14:paraId="00000064">
      <w:pPr>
        <w:spacing w:line="360" w:lineRule="auto"/>
        <w:jc w:val="both"/>
        <w:rPr>
          <w:sz w:val="24"/>
          <w:szCs w:val="24"/>
        </w:rPr>
      </w:pPr>
      <w:r w:rsidDel="00000000" w:rsidR="00000000" w:rsidRPr="00000000">
        <w:rPr>
          <w:sz w:val="24"/>
          <w:szCs w:val="24"/>
          <w:rtl w:val="0"/>
        </w:rPr>
        <w:t xml:space="preserve">Gratulujeme vám, že jste dosáhli tohoto bodu a dokončili jste aktivity týkající se sebereflexe vícejazyčných kompetencí prostřednictvím umění. Co bude následovat? Pokud se chcete dozvědět více o tématech, která jste dosud v této lekci probírali, připravili jsme pro vás následující doplňující materiály k četbě. V této části jsou uvedeny odkazy na další materiály a videa, které jsme našli na internetu a které vám podle našeho názoru pomohou udělat další krok v rozvíjení vašich znalostí. </w:t>
      </w:r>
    </w:p>
    <w:tbl>
      <w:tblPr>
        <w:tblStyle w:val="Table2"/>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54"/>
        <w:gridCol w:w="7418"/>
        <w:tblGridChange w:id="0">
          <w:tblGrid>
            <w:gridCol w:w="1654"/>
            <w:gridCol w:w="7418"/>
          </w:tblGrid>
        </w:tblGridChange>
      </w:tblGrid>
      <w:tr>
        <w:trPr>
          <w:cantSplit w:val="0"/>
          <w:trHeight w:val="55" w:hRule="atLeast"/>
          <w:tblHeader w:val="0"/>
        </w:trPr>
        <w:tc>
          <w:tcPr>
            <w:shd w:fill="ed7d31" w:val="clear"/>
          </w:tcPr>
          <w:p w:rsidR="00000000" w:rsidDel="00000000" w:rsidP="00000000" w:rsidRDefault="00000000" w:rsidRPr="00000000" w14:paraId="00000065">
            <w:pPr>
              <w:spacing w:after="120" w:before="120" w:line="276" w:lineRule="auto"/>
              <w:jc w:val="center"/>
              <w:rPr>
                <w:b w:val="1"/>
                <w:color w:val="ffffff"/>
              </w:rPr>
            </w:pPr>
            <w:bookmarkStart w:colFirst="0" w:colLast="0" w:name="_tyjcwt" w:id="5"/>
            <w:bookmarkEnd w:id="5"/>
            <w:r w:rsidDel="00000000" w:rsidR="00000000" w:rsidRPr="00000000">
              <w:rPr>
                <w:b w:val="1"/>
                <w:color w:val="ffffff"/>
                <w:rtl w:val="0"/>
              </w:rPr>
              <w:t xml:space="preserve">Typ zdroje:</w:t>
            </w:r>
          </w:p>
        </w:tc>
        <w:tc>
          <w:tcPr/>
          <w:p w:rsidR="00000000" w:rsidDel="00000000" w:rsidP="00000000" w:rsidRDefault="00000000" w:rsidRPr="00000000" w14:paraId="00000066">
            <w:pPr>
              <w:spacing w:after="120" w:before="120" w:line="276" w:lineRule="auto"/>
              <w:jc w:val="both"/>
              <w:rPr>
                <w:color w:val="000000"/>
              </w:rPr>
            </w:pPr>
            <w:r w:rsidDel="00000000" w:rsidR="00000000" w:rsidRPr="00000000">
              <w:rPr>
                <w:rtl w:val="0"/>
              </w:rPr>
              <w:t xml:space="preserve">Jak používat filmy a televizi k procvičování jazyka</w:t>
            </w:r>
            <w:r w:rsidDel="00000000" w:rsidR="00000000" w:rsidRPr="00000000">
              <w:rPr>
                <w:rtl w:val="0"/>
              </w:rPr>
            </w:r>
          </w:p>
        </w:tc>
      </w:tr>
      <w:tr>
        <w:trPr>
          <w:cantSplit w:val="0"/>
          <w:trHeight w:val="55" w:hRule="atLeast"/>
          <w:tblHeader w:val="0"/>
        </w:trPr>
        <w:tc>
          <w:tcPr>
            <w:shd w:fill="ed7d31" w:val="clear"/>
          </w:tcPr>
          <w:p w:rsidR="00000000" w:rsidDel="00000000" w:rsidP="00000000" w:rsidRDefault="00000000" w:rsidRPr="00000000" w14:paraId="00000067">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68">
            <w:pPr>
              <w:spacing w:after="120" w:before="120" w:line="276" w:lineRule="auto"/>
              <w:jc w:val="both"/>
              <w:rPr>
                <w:color w:val="000000"/>
                <w:highlight w:val="yellow"/>
              </w:rPr>
            </w:pPr>
            <w:r w:rsidDel="00000000" w:rsidR="00000000" w:rsidRPr="00000000">
              <w:rPr>
                <w:rtl w:val="0"/>
              </w:rPr>
              <w:t xml:space="preserve">Způsoby využití filmů a televize k procvičování jazyka</w:t>
            </w:r>
            <w:r w:rsidDel="00000000" w:rsidR="00000000" w:rsidRPr="00000000">
              <w:rPr>
                <w:rtl w:val="0"/>
              </w:rPr>
            </w:r>
          </w:p>
        </w:tc>
      </w:tr>
      <w:tr>
        <w:trPr>
          <w:cantSplit w:val="0"/>
          <w:trHeight w:val="97" w:hRule="atLeast"/>
          <w:tblHeader w:val="0"/>
        </w:trPr>
        <w:tc>
          <w:tcPr>
            <w:shd w:fill="ed7d31" w:val="clear"/>
          </w:tcPr>
          <w:p w:rsidR="00000000" w:rsidDel="00000000" w:rsidP="00000000" w:rsidRDefault="00000000" w:rsidRPr="00000000" w14:paraId="00000069">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6A">
            <w:pPr>
              <w:spacing w:after="120" w:before="120" w:line="276" w:lineRule="auto"/>
              <w:jc w:val="both"/>
              <w:rPr>
                <w:color w:val="000000"/>
              </w:rPr>
            </w:pPr>
            <w:r w:rsidDel="00000000" w:rsidR="00000000" w:rsidRPr="00000000">
              <w:rPr>
                <w:rtl w:val="0"/>
              </w:rPr>
              <w:t xml:space="preserve">Článek se zabývá tím, jak může být sledování televizních pořadů a filmů v cizím jazyce účinným nástrojem jazykové praxe. Zdůrazňuje výhody používání autentického jazyka, kontextu a vizuálních podnětů pro zlepšení dovedností poslechu a porozumění. Doporučuje také začlenění titulků v cílovém jazyce, aby bylo učení se cizímu jazyku více pohlcující a efektivní.</w:t>
            </w:r>
            <w:r w:rsidDel="00000000" w:rsidR="00000000" w:rsidRPr="00000000">
              <w:rPr>
                <w:rtl w:val="0"/>
              </w:rPr>
            </w:r>
          </w:p>
        </w:tc>
      </w:tr>
      <w:tr>
        <w:trPr>
          <w:cantSplit w:val="0"/>
          <w:trHeight w:val="124" w:hRule="atLeast"/>
          <w:tblHeader w:val="0"/>
        </w:trPr>
        <w:tc>
          <w:tcPr>
            <w:shd w:fill="ed7d31" w:val="clear"/>
          </w:tcPr>
          <w:p w:rsidR="00000000" w:rsidDel="00000000" w:rsidP="00000000" w:rsidRDefault="00000000" w:rsidRPr="00000000" w14:paraId="0000006B">
            <w:pPr>
              <w:spacing w:after="120" w:before="120" w:line="276" w:lineRule="auto"/>
              <w:jc w:val="center"/>
              <w:rPr>
                <w:b w:val="1"/>
                <w:color w:val="ffffff"/>
              </w:rPr>
            </w:pPr>
            <w:bookmarkStart w:colFirst="0" w:colLast="0" w:name="_3dy6vkm" w:id="6"/>
            <w:bookmarkEnd w:id="6"/>
            <w:r w:rsidDel="00000000" w:rsidR="00000000" w:rsidRPr="00000000">
              <w:rPr>
                <w:b w:val="1"/>
                <w:color w:val="ffffff"/>
                <w:rtl w:val="0"/>
              </w:rPr>
              <w:t xml:space="preserve">Co vám používání tohoto zdroje přinese?</w:t>
            </w:r>
          </w:p>
        </w:tc>
        <w:tc>
          <w:tcPr/>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120" w:before="120" w:line="276" w:lineRule="auto"/>
              <w:jc w:val="both"/>
              <w:rPr/>
            </w:pPr>
            <w:r w:rsidDel="00000000" w:rsidR="00000000" w:rsidRPr="00000000">
              <w:rPr>
                <w:rtl w:val="0"/>
              </w:rPr>
              <w:t xml:space="preserve">Přečtením tohoto článku, který napsala společnost Duolingo, přední společnost v oblasti vzdělávacích technologií, jež vyrábí výukové aplikace a poskytuje jazykové certifikáty, získáte cenné informace o souvislosti mezi filmy a výukou jazyků.</w:t>
            </w:r>
          </w:p>
        </w:tc>
      </w:tr>
      <w:tr>
        <w:trPr>
          <w:cantSplit w:val="0"/>
          <w:trHeight w:val="55" w:hRule="atLeast"/>
          <w:tblHeader w:val="0"/>
        </w:trPr>
        <w:tc>
          <w:tcPr>
            <w:shd w:fill="ed7d31" w:val="clear"/>
          </w:tcPr>
          <w:p w:rsidR="00000000" w:rsidDel="00000000" w:rsidP="00000000" w:rsidRDefault="00000000" w:rsidRPr="00000000" w14:paraId="0000006D">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6E">
            <w:pPr>
              <w:spacing w:after="120" w:before="120" w:line="276" w:lineRule="auto"/>
              <w:jc w:val="both"/>
              <w:rPr>
                <w:color w:val="000000"/>
              </w:rPr>
            </w:pPr>
            <w:hyperlink r:id="rId17">
              <w:r w:rsidDel="00000000" w:rsidR="00000000" w:rsidRPr="00000000">
                <w:rPr>
                  <w:color w:val="1155cc"/>
                  <w:u w:val="single"/>
                  <w:rtl w:val="0"/>
                </w:rPr>
                <w:t xml:space="preserve">https://blog.duolingo.com/language-practice-with-tv-movies/</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6F">
      <w:pPr>
        <w:spacing w:line="276" w:lineRule="auto"/>
        <w:jc w:val="both"/>
        <w:rPr/>
      </w:pPr>
      <w:r w:rsidDel="00000000" w:rsidR="00000000" w:rsidRPr="00000000">
        <w:rPr>
          <w:rtl w:val="0"/>
        </w:rPr>
      </w:r>
    </w:p>
    <w:p w:rsidR="00000000" w:rsidDel="00000000" w:rsidP="00000000" w:rsidRDefault="00000000" w:rsidRPr="00000000" w14:paraId="00000070">
      <w:pPr>
        <w:spacing w:line="276" w:lineRule="auto"/>
        <w:jc w:val="both"/>
        <w:rPr/>
      </w:pPr>
      <w:r w:rsidDel="00000000" w:rsidR="00000000" w:rsidRPr="00000000">
        <w:rPr>
          <w:rtl w:val="0"/>
        </w:rPr>
      </w:r>
    </w:p>
    <w:tbl>
      <w:tblPr>
        <w:tblStyle w:val="Table3"/>
        <w:tblW w:w="907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85"/>
        <w:gridCol w:w="7087"/>
        <w:tblGridChange w:id="0">
          <w:tblGrid>
            <w:gridCol w:w="1985"/>
            <w:gridCol w:w="7087"/>
          </w:tblGrid>
        </w:tblGridChange>
      </w:tblGrid>
      <w:tr>
        <w:trPr>
          <w:cantSplit w:val="0"/>
          <w:tblHeader w:val="0"/>
        </w:trPr>
        <w:tc>
          <w:tcPr>
            <w:shd w:fill="ed7d31" w:val="clear"/>
          </w:tcPr>
          <w:p w:rsidR="00000000" w:rsidDel="00000000" w:rsidP="00000000" w:rsidRDefault="00000000" w:rsidRPr="00000000" w14:paraId="00000071">
            <w:pPr>
              <w:spacing w:after="120" w:before="120" w:line="276" w:lineRule="auto"/>
              <w:jc w:val="center"/>
              <w:rPr>
                <w:b w:val="1"/>
                <w:color w:val="ffffff"/>
              </w:rPr>
            </w:pPr>
            <w:r w:rsidDel="00000000" w:rsidR="00000000" w:rsidRPr="00000000">
              <w:rPr>
                <w:b w:val="1"/>
                <w:color w:val="ffffff"/>
                <w:rtl w:val="0"/>
              </w:rPr>
              <w:t xml:space="preserve">Typ zdroje:</w:t>
            </w:r>
          </w:p>
        </w:tc>
        <w:tc>
          <w:tcPr/>
          <w:p w:rsidR="00000000" w:rsidDel="00000000" w:rsidP="00000000" w:rsidRDefault="00000000" w:rsidRPr="00000000" w14:paraId="00000072">
            <w:pPr>
              <w:spacing w:after="120" w:before="120" w:line="276" w:lineRule="auto"/>
              <w:jc w:val="both"/>
              <w:rPr>
                <w:color w:val="000000"/>
              </w:rPr>
            </w:pPr>
            <w:r w:rsidDel="00000000" w:rsidR="00000000" w:rsidRPr="00000000">
              <w:rPr>
                <w:rtl w:val="0"/>
              </w:rPr>
              <w:t xml:space="preserve">Učte se jazyk prostřednictvím hudby: Vědecké poznatky a nejlepší písničky pro začátečníky</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73">
            <w:pPr>
              <w:spacing w:after="120" w:before="120" w:line="276" w:lineRule="auto"/>
              <w:jc w:val="center"/>
              <w:rPr>
                <w:b w:val="1"/>
                <w:color w:val="ffffff"/>
              </w:rPr>
            </w:pPr>
            <w:r w:rsidDel="00000000" w:rsidR="00000000" w:rsidRPr="00000000">
              <w:rPr>
                <w:b w:val="1"/>
                <w:color w:val="ffffff"/>
                <w:rtl w:val="0"/>
              </w:rPr>
              <w:t xml:space="preserve">Téma:</w:t>
            </w:r>
          </w:p>
        </w:tc>
        <w:tc>
          <w:tcPr/>
          <w:p w:rsidR="00000000" w:rsidDel="00000000" w:rsidP="00000000" w:rsidRDefault="00000000" w:rsidRPr="00000000" w14:paraId="00000074">
            <w:pPr>
              <w:spacing w:after="120" w:before="120" w:line="276" w:lineRule="auto"/>
              <w:jc w:val="both"/>
              <w:rPr>
                <w:color w:val="000000"/>
              </w:rPr>
            </w:pPr>
            <w:r w:rsidDel="00000000" w:rsidR="00000000" w:rsidRPr="00000000">
              <w:rPr>
                <w:rtl w:val="0"/>
              </w:rPr>
              <w:t xml:space="preserve">Výuka jazyka prostřednictvím hudby</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75">
            <w:pPr>
              <w:spacing w:after="120" w:before="120" w:line="276" w:lineRule="auto"/>
              <w:jc w:val="center"/>
              <w:rPr>
                <w:b w:val="1"/>
                <w:color w:val="ffffff"/>
              </w:rPr>
            </w:pPr>
            <w:r w:rsidDel="00000000" w:rsidR="00000000" w:rsidRPr="00000000">
              <w:rPr>
                <w:b w:val="1"/>
                <w:color w:val="ffffff"/>
                <w:rtl w:val="0"/>
              </w:rPr>
              <w:t xml:space="preserve">Úvod:</w:t>
            </w:r>
          </w:p>
        </w:tc>
        <w:tc>
          <w:tcPr/>
          <w:p w:rsidR="00000000" w:rsidDel="00000000" w:rsidP="00000000" w:rsidRDefault="00000000" w:rsidRPr="00000000" w14:paraId="00000076">
            <w:pPr>
              <w:spacing w:after="120" w:before="120" w:line="276" w:lineRule="auto"/>
              <w:jc w:val="both"/>
              <w:rPr>
                <w:color w:val="000000"/>
              </w:rPr>
            </w:pPr>
            <w:r w:rsidDel="00000000" w:rsidR="00000000" w:rsidRPr="00000000">
              <w:rPr>
                <w:rtl w:val="0"/>
              </w:rPr>
              <w:t xml:space="preserve">Zpěv může být pro studenty při učení jazyka přínosem, protože hudba i jazyk mají společné rysy, které umožňují hudbě zlepšovat a formovat zpracování jazyka.</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77">
            <w:pPr>
              <w:spacing w:after="120" w:before="120" w:line="276" w:lineRule="auto"/>
              <w:jc w:val="center"/>
              <w:rPr>
                <w:b w:val="1"/>
                <w:color w:val="ffffff"/>
              </w:rPr>
            </w:pPr>
            <w:r w:rsidDel="00000000" w:rsidR="00000000" w:rsidRPr="00000000">
              <w:rPr>
                <w:b w:val="1"/>
                <w:color w:val="ffffff"/>
                <w:rtl w:val="0"/>
              </w:rPr>
              <w:t xml:space="preserve">Co vám používání tohoto zdroje přinese?</w:t>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120" w:before="120" w:line="276" w:lineRule="auto"/>
              <w:jc w:val="both"/>
              <w:rPr>
                <w:color w:val="000000"/>
              </w:rPr>
            </w:pPr>
            <w:r w:rsidDel="00000000" w:rsidR="00000000" w:rsidRPr="00000000">
              <w:rPr>
                <w:rtl w:val="0"/>
              </w:rPr>
              <w:t xml:space="preserve">Zdůrazňuje výhody používání hudby jako účinného nástroje pro výuku jazyků. Zdůrazňuje, že hudba pomáhá studentům zlepšit výslovnost, slovní zásobu a udržení jazyka díky kombinaci melodie a rytmu s jazykovými prvky. Článek také naznačuje, že učení prostřednictvím hudby podporuje kulturní porozumění, zvyšuje motivaci a činí výuku jazyka příjemnou a poutavou.</w:t>
            </w:r>
            <w:r w:rsidDel="00000000" w:rsidR="00000000" w:rsidRPr="00000000">
              <w:rPr>
                <w:rtl w:val="0"/>
              </w:rPr>
            </w:r>
          </w:p>
        </w:tc>
      </w:tr>
      <w:tr>
        <w:trPr>
          <w:cantSplit w:val="0"/>
          <w:tblHeader w:val="0"/>
        </w:trPr>
        <w:tc>
          <w:tcPr>
            <w:shd w:fill="ed7d31" w:val="clear"/>
          </w:tcPr>
          <w:p w:rsidR="00000000" w:rsidDel="00000000" w:rsidP="00000000" w:rsidRDefault="00000000" w:rsidRPr="00000000" w14:paraId="00000079">
            <w:pPr>
              <w:spacing w:after="120" w:before="120" w:line="276" w:lineRule="auto"/>
              <w:jc w:val="center"/>
              <w:rPr>
                <w:b w:val="1"/>
                <w:color w:val="ffffff"/>
              </w:rPr>
            </w:pPr>
            <w:r w:rsidDel="00000000" w:rsidR="00000000" w:rsidRPr="00000000">
              <w:rPr>
                <w:b w:val="1"/>
                <w:color w:val="ffffff"/>
                <w:rtl w:val="0"/>
              </w:rPr>
              <w:t xml:space="preserve">Odkaz:</w:t>
            </w:r>
          </w:p>
        </w:tc>
        <w:tc>
          <w:tcPr/>
          <w:p w:rsidR="00000000" w:rsidDel="00000000" w:rsidP="00000000" w:rsidRDefault="00000000" w:rsidRPr="00000000" w14:paraId="0000007A">
            <w:pPr>
              <w:spacing w:after="120" w:before="120" w:line="276" w:lineRule="auto"/>
              <w:jc w:val="both"/>
              <w:rPr>
                <w:color w:val="000000"/>
              </w:rPr>
            </w:pPr>
            <w:hyperlink r:id="rId18">
              <w:r w:rsidDel="00000000" w:rsidR="00000000" w:rsidRPr="00000000">
                <w:rPr>
                  <w:color w:val="1155cc"/>
                  <w:u w:val="single"/>
                  <w:rtl w:val="0"/>
                </w:rPr>
                <w:t xml:space="preserve">https://lingopie.com/blog/learning-language-through-music/</w:t>
              </w:r>
            </w:hyperlink>
            <w:r w:rsidDel="00000000" w:rsidR="00000000" w:rsidRPr="00000000">
              <w:rPr>
                <w:rtl w:val="0"/>
              </w:rPr>
              <w:t xml:space="preserve"> </w:t>
            </w:r>
            <w:r w:rsidDel="00000000" w:rsidR="00000000" w:rsidRPr="00000000">
              <w:rPr>
                <w:rtl w:val="0"/>
              </w:rPr>
            </w:r>
          </w:p>
        </w:tc>
      </w:tr>
    </w:tbl>
    <w:p w:rsidR="00000000" w:rsidDel="00000000" w:rsidP="00000000" w:rsidRDefault="00000000" w:rsidRPr="00000000" w14:paraId="0000007B">
      <w:pPr>
        <w:rPr/>
      </w:pPr>
      <w:r w:rsidDel="00000000" w:rsidR="00000000" w:rsidRPr="00000000">
        <w:rPr>
          <w:rFonts w:ascii="Source Sans Pro" w:cs="Source Sans Pro" w:eastAsia="Source Sans Pro" w:hAnsi="Source Sans Pro"/>
          <w:color w:val="000000"/>
        </w:rPr>
        <w:drawing>
          <wp:anchor allowOverlap="1" behindDoc="0" distB="0" distT="0" distL="114300" distR="114300" hidden="0" layoutInCell="1" locked="0" relativeHeight="0" simplePos="0">
            <wp:simplePos x="0" y="0"/>
            <wp:positionH relativeFrom="margin">
              <wp:posOffset>-914398</wp:posOffset>
            </wp:positionH>
            <wp:positionV relativeFrom="margin">
              <wp:posOffset>-931543</wp:posOffset>
            </wp:positionV>
            <wp:extent cx="7625715" cy="10765155"/>
            <wp:effectExtent b="0" l="0" r="0" t="0"/>
            <wp:wrapSquare wrapText="bothSides" distB="0" distT="0" distL="114300" distR="114300"/>
            <wp:docPr descr="Timeline&#10;&#10;Description automatically generated" id="4" name="image2.png"/>
            <a:graphic>
              <a:graphicData uri="http://schemas.openxmlformats.org/drawingml/2006/picture">
                <pic:pic>
                  <pic:nvPicPr>
                    <pic:cNvPr descr="Timeline&#10;&#10;Description automatically generated" id="0" name="image2.png"/>
                    <pic:cNvPicPr preferRelativeResize="0"/>
                  </pic:nvPicPr>
                  <pic:blipFill>
                    <a:blip r:embed="rId19"/>
                    <a:srcRect b="0" l="0" r="0" t="0"/>
                    <a:stretch>
                      <a:fillRect/>
                    </a:stretch>
                  </pic:blipFill>
                  <pic:spPr>
                    <a:xfrm>
                      <a:off x="0" y="0"/>
                      <a:ext cx="7625715" cy="10765155"/>
                    </a:xfrm>
                    <a:prstGeom prst="rect"/>
                    <a:ln/>
                  </pic:spPr>
                </pic:pic>
              </a:graphicData>
            </a:graphic>
          </wp:anchor>
        </w:drawing>
      </w:r>
      <w:r w:rsidDel="00000000" w:rsidR="00000000" w:rsidRPr="00000000">
        <w:rPr>
          <w:rtl w:val="0"/>
        </w:rPr>
      </w:r>
    </w:p>
    <w:sectPr>
      <w:headerReference r:id="rId20" w:type="first"/>
      <w:footerReference r:id="rId21" w:type="first"/>
      <w:type w:val="nextPage"/>
      <w:pgSz w:h="16838" w:w="11906" w:orient="portrait"/>
      <w:pgMar w:bottom="1440" w:top="1440" w:left="1440" w:right="1440" w:header="0" w:footer="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Bebas Neue">
    <w:embedRegular w:fontKey="{00000000-0000-0000-0000-000000000000}" r:id="rId1" w:subsetted="0"/>
  </w:font>
  <w:font w:name="Noto Sans Symbols">
    <w:embedRegular w:fontKey="{00000000-0000-0000-0000-000000000000}" r:id="rId2" w:subsetted="0"/>
    <w:embedBold w:fontKey="{00000000-0000-0000-0000-000000000000}" r:id="rId3"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color w:val="000000"/>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
              <a:graphic>
                <a:graphicData uri="http://schemas.microsoft.com/office/word/2010/wordprocessingShape">
                  <wps:wsp>
                    <wps:cNvSpPr/>
                    <wps:cNvPr id="2" name="Shape 2"/>
                    <wps:spPr>
                      <a:xfrm>
                        <a:off x="1347315" y="3336448"/>
                        <a:ext cx="7997371" cy="887104"/>
                      </a:xfrm>
                      <a:prstGeom prst="rect">
                        <a:avLst/>
                      </a:prstGeom>
                      <a:gradFill>
                        <a:gsLst>
                          <a:gs pos="0">
                            <a:srgbClr val="FFDE7E"/>
                          </a:gs>
                          <a:gs pos="50000">
                            <a:srgbClr val="FFE9B1"/>
                          </a:gs>
                          <a:gs pos="100000">
                            <a:srgbClr val="FFF2D9"/>
                          </a:gs>
                        </a:gsLst>
                        <a:lin ang="10800000" scaled="0"/>
                      </a:gradFill>
                      <a:ln cap="flat" cmpd="sng" w="1905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-1231899</wp:posOffset>
              </wp:positionH>
              <wp:positionV relativeFrom="paragraph">
                <wp:posOffset>-723899</wp:posOffset>
              </wp:positionV>
              <wp:extent cx="8035471" cy="925204"/>
              <wp:effectExtent b="0" l="0" r="0" t="0"/>
              <wp:wrapNone/>
              <wp:docPr id="1"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8035471" cy="925204"/>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right"/>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rPr>
      <w:drawing>
        <wp:anchor allowOverlap="1" behindDoc="0" distB="0" distT="0" distL="114300" distR="114300" hidden="0" layoutInCell="1" locked="0" relativeHeight="0" simplePos="0">
          <wp:simplePos x="0" y="0"/>
          <wp:positionH relativeFrom="margin">
            <wp:align>left</wp:align>
          </wp:positionH>
          <wp:positionV relativeFrom="page">
            <wp:posOffset>264795</wp:posOffset>
          </wp:positionV>
          <wp:extent cx="1853565" cy="387985"/>
          <wp:effectExtent b="0" l="0" r="0" t="0"/>
          <wp:wrapSquare wrapText="bothSides" distB="0" distT="0" distL="114300" distR="114300"/>
          <wp:docPr id="10"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853565" cy="387985"/>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874632" cy="618328"/>
          <wp:effectExtent b="0" l="0" r="0" t="0"/>
          <wp:docPr descr="A picture containing icon&#10;&#10;Description automatically generated" id="7" name="image4.png"/>
          <a:graphic>
            <a:graphicData uri="http://schemas.openxmlformats.org/drawingml/2006/picture">
              <pic:pic>
                <pic:nvPicPr>
                  <pic:cNvPr descr="A picture containing icon&#10;&#10;Description automatically generated" id="0" name="image4.png"/>
                  <pic:cNvPicPr preferRelativeResize="0"/>
                </pic:nvPicPr>
                <pic:blipFill>
                  <a:blip r:embed="rId2"/>
                  <a:srcRect b="0" l="0" r="0" t="0"/>
                  <a:stretch>
                    <a:fillRect/>
                  </a:stretch>
                </pic:blipFill>
                <pic:spPr>
                  <a:xfrm>
                    <a:off x="0" y="0"/>
                    <a:ext cx="874632" cy="618328"/>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jc w:val="center"/>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40" w:lineRule="auto"/>
    </w:pPr>
    <w:rPr>
      <w:rFonts w:ascii="Calibri" w:cs="Calibri" w:eastAsia="Calibri" w:hAnsi="Calibri"/>
      <w:color w:val="225c99"/>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sz w:val="24"/>
      <w:szCs w:val="24"/>
    </w:r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3.xml"/><Relationship Id="rId11" Type="http://schemas.openxmlformats.org/officeDocument/2006/relationships/image" Target="media/image11.png"/><Relationship Id="rId10" Type="http://schemas.openxmlformats.org/officeDocument/2006/relationships/image" Target="media/image1.png"/><Relationship Id="rId21" Type="http://schemas.openxmlformats.org/officeDocument/2006/relationships/footer" Target="footer3.xml"/><Relationship Id="rId13" Type="http://schemas.openxmlformats.org/officeDocument/2006/relationships/image" Target="media/image3.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15" Type="http://schemas.openxmlformats.org/officeDocument/2006/relationships/image" Target="media/image9.png"/><Relationship Id="rId14" Type="http://schemas.openxmlformats.org/officeDocument/2006/relationships/image" Target="media/image8.png"/><Relationship Id="rId17" Type="http://schemas.openxmlformats.org/officeDocument/2006/relationships/hyperlink" Target="https://blog.duolingo.com/language-practice-with-tv-movies/" TargetMode="External"/><Relationship Id="rId16" Type="http://schemas.openxmlformats.org/officeDocument/2006/relationships/image" Target="media/image7.jpg"/><Relationship Id="rId5" Type="http://schemas.openxmlformats.org/officeDocument/2006/relationships/styles" Target="styles.xml"/><Relationship Id="rId19" Type="http://schemas.openxmlformats.org/officeDocument/2006/relationships/image" Target="media/image2.png"/><Relationship Id="rId6" Type="http://schemas.openxmlformats.org/officeDocument/2006/relationships/header" Target="header2.xml"/><Relationship Id="rId18" Type="http://schemas.openxmlformats.org/officeDocument/2006/relationships/hyperlink" Target="https://lingopie.com/blog/learning-language-through-music/" TargetMode="Externa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BebasNeue-regular.ttf"/><Relationship Id="rId2" Type="http://schemas.openxmlformats.org/officeDocument/2006/relationships/font" Target="fonts/NotoSansSymbols-regular.ttf"/><Relationship Id="rId3"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0a7c346f6d6fe3142f576e459c84555052365658d2af9f9b4101022a58ef9b7d</vt:lpwstr>
  </property>
</Properties>
</file>