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900"/>
        </w:tabs>
        <w:rPr/>
        <w:sectPr>
          <w:headerReference r:id="rId6" w:type="default"/>
          <w:headerReference r:id="rId7" w:type="first"/>
          <w:footerReference r:id="rId8" w:type="default"/>
          <w:footerReference r:id="rId9" w:type="first"/>
          <w:pgSz w:h="16838" w:w="11906" w:orient="portrait"/>
          <w:pgMar w:bottom="170" w:top="170" w:left="170" w:right="170" w:header="0" w:footer="0"/>
          <w:pgNumType w:start="1"/>
        </w:sect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-142238</wp:posOffset>
            </wp:positionH>
            <wp:positionV relativeFrom="margin">
              <wp:posOffset>-239393</wp:posOffset>
            </wp:positionV>
            <wp:extent cx="7625715" cy="10782300"/>
            <wp:effectExtent b="0" l="0" r="0" t="0"/>
            <wp:wrapSquare wrapText="bothSides" distB="0" distT="0" distL="114300" distR="114300"/>
            <wp:docPr descr="Shape&#10;&#10;Description automatically generated" id="8" name="image4.png"/>
            <a:graphic>
              <a:graphicData uri="http://schemas.openxmlformats.org/drawingml/2006/picture">
                <pic:pic>
                  <pic:nvPicPr>
                    <pic:cNvPr descr="Shape&#10;&#10;Description automatically generated"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1988820</wp:posOffset>
                </wp:positionV>
                <wp:extent cx="6003925" cy="2746375"/>
                <wp:effectExtent b="0" l="0" r="0" t="0"/>
                <wp:wrapSquare wrapText="bothSides" distB="45720" distT="4572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48800" y="2411575"/>
                          <a:ext cx="5994400" cy="273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  <w:t xml:space="preserve">Občanské kompetence prostřednictvím kulturních disciplín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Handout pro studenty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1988820</wp:posOffset>
                </wp:positionV>
                <wp:extent cx="6003925" cy="2746375"/>
                <wp:effectExtent b="0" l="0" r="0" t="0"/>
                <wp:wrapSquare wrapText="bothSides" distB="45720" distT="45720" distL="114300" distR="114300"/>
                <wp:docPr id="2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3925" cy="2746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2"/>
          <w:szCs w:val="32"/>
          <w:u w:val="none"/>
          <w:shd w:fill="auto" w:val="clear"/>
          <w:vertAlign w:val="baseline"/>
          <w:rtl w:val="0"/>
        </w:rPr>
        <w:t xml:space="preserve">Obsah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16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w:anchor="_gjdgxs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 je to kulturní disciplína?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16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30j0zll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Případová studie 1 – Integration through Culture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16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1fob9te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Aktivita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16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3znys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Další zdroje pro čtení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Bebas Neue" w:cs="Bebas Neue" w:eastAsia="Bebas Neue" w:hAnsi="Bebas Neue"/>
          <w:color w:val="ff99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Bebas Neue" w:cs="Bebas Neue" w:eastAsia="Bebas Neue" w:hAnsi="Bebas Neue"/>
          <w:color w:val="ff99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Bebas Neue" w:cs="Bebas Neue" w:eastAsia="Bebas Neue" w:hAnsi="Bebas Neue"/>
          <w:color w:val="ff99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Bebas Neue" w:cs="Bebas Neue" w:eastAsia="Bebas Neue" w:hAnsi="Bebas Neue"/>
          <w:color w:val="ff99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Bebas Neue" w:cs="Bebas Neue" w:eastAsia="Bebas Neue" w:hAnsi="Bebas Neue"/>
          <w:color w:val="ff99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Bebas Neue" w:cs="Bebas Neue" w:eastAsia="Bebas Neue" w:hAnsi="Bebas Neue"/>
          <w:color w:val="ff99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Bebas Neue" w:cs="Bebas Neue" w:eastAsia="Bebas Neue" w:hAnsi="Bebas Neue"/>
          <w:color w:val="ff99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Bebas Neue" w:cs="Bebas Neue" w:eastAsia="Bebas Neue" w:hAnsi="Bebas Neue"/>
          <w:color w:val="ff99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Bebas Neue" w:cs="Bebas Neue" w:eastAsia="Bebas Neue" w:hAnsi="Bebas Neue"/>
          <w:color w:val="ff99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Bebas Neue" w:cs="Bebas Neue" w:eastAsia="Bebas Neue" w:hAnsi="Bebas Neue"/>
          <w:color w:val="ff99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Bebas Neue" w:cs="Bebas Neue" w:eastAsia="Bebas Neue" w:hAnsi="Bebas Neue"/>
          <w:color w:val="ff99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spacing w:line="360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Co je to kulturní disciplína?</w:t>
      </w:r>
    </w:p>
    <w:p w:rsidR="00000000" w:rsidDel="00000000" w:rsidP="00000000" w:rsidRDefault="00000000" w:rsidRPr="00000000" w14:paraId="0000001B">
      <w:pPr>
        <w:spacing w:line="360" w:lineRule="auto"/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right</wp:align>
            </wp:positionH>
            <wp:positionV relativeFrom="margin">
              <wp:posOffset>381000</wp:posOffset>
            </wp:positionV>
            <wp:extent cx="1200150" cy="1133475"/>
            <wp:effectExtent b="0" l="0" r="0" t="0"/>
            <wp:wrapSquare wrapText="bothSides" distB="0" distT="0" distL="114300" distR="114300"/>
            <wp:docPr descr="Handshake with solid fill" id="16" name="image8.png"/>
            <a:graphic>
              <a:graphicData uri="http://schemas.openxmlformats.org/drawingml/2006/picture">
                <pic:pic>
                  <pic:nvPicPr>
                    <pic:cNvPr descr="Handshake with solid fill" id="0" name="image8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33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Kulturní disciplíny označují různé oblasti studia a výzkumu, které se zaměřují na pochopení a analýzu různých aspektů lidské kultury. Tyto disciplíny zkoumají, jak lidé vytvářejí, vyjadřují a interpretují svá přesvědčení, hodnoty, zvyky, tradice, umění a sociální praktiky.</w:t>
      </w:r>
    </w:p>
    <w:p w:rsidR="00000000" w:rsidDel="00000000" w:rsidP="00000000" w:rsidRDefault="00000000" w:rsidRPr="00000000" w14:paraId="0000001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/>
      </w:pPr>
      <w:r w:rsidDel="00000000" w:rsidR="00000000" w:rsidRPr="00000000">
        <w:rPr>
          <w:rFonts w:ascii="Source Sans Pro" w:cs="Source Sans Pro" w:eastAsia="Source Sans Pro" w:hAnsi="Source Sans Pro"/>
          <w:color w:val="00000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left</wp:align>
            </wp:positionH>
            <wp:positionV relativeFrom="margin">
              <wp:posOffset>1869440</wp:posOffset>
            </wp:positionV>
            <wp:extent cx="1314450" cy="1362075"/>
            <wp:effectExtent b="0" l="0" r="0" t="0"/>
            <wp:wrapSquare wrapText="bothSides" distB="0" distT="0" distL="114300" distR="114300"/>
            <wp:docPr descr="Remote learning language with solid fill" id="12" name="image5.png"/>
            <a:graphic>
              <a:graphicData uri="http://schemas.openxmlformats.org/drawingml/2006/picture">
                <pic:pic>
                  <pic:nvPicPr>
                    <pic:cNvPr descr="Remote learning language with solid fill"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62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Kulturní disciplíny zahrnují širokou škálu oborů, z nichž každý má svůj vlastní jedinečný pohled a metody studia. Mezi kulturní disciplíny patří například antropologie, sociologie, historie, lingvistika, literatura, dějiny umění, religionistika a kulturní studia.</w:t>
      </w:r>
    </w:p>
    <w:p w:rsidR="00000000" w:rsidDel="00000000" w:rsidP="00000000" w:rsidRDefault="00000000" w:rsidRPr="00000000" w14:paraId="0000001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/>
      </w:pPr>
      <w:r w:rsidDel="00000000" w:rsidR="00000000" w:rsidRPr="00000000">
        <w:rPr>
          <w:rFonts w:ascii="Source Sans Pro" w:cs="Source Sans Pro" w:eastAsia="Source Sans Pro" w:hAnsi="Source Sans Pro"/>
          <w:color w:val="00000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right</wp:align>
            </wp:positionH>
            <wp:positionV relativeFrom="margin">
              <wp:posOffset>3343275</wp:posOffset>
            </wp:positionV>
            <wp:extent cx="1390650" cy="1343025"/>
            <wp:effectExtent b="0" l="0" r="0" t="0"/>
            <wp:wrapSquare wrapText="bothSides" distB="0" distT="0" distL="114300" distR="114300"/>
            <wp:docPr descr="Artist male with solid fill" id="4" name="image2.png"/>
            <a:graphic>
              <a:graphicData uri="http://schemas.openxmlformats.org/drawingml/2006/picture">
                <pic:pic>
                  <pic:nvPicPr>
                    <pic:cNvPr descr="Artist male with solid fill"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43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Prostřednictvím těchto disciplín se vědci snaží získat poznatky o rozmanitosti lidských kultur, zkoumat, jak se kultury vyvíjejí a mění v čase, a pochopit, jak kultura ovlivňuje lidské chování, víru a interakce. Zkoumáním rozmanitých kulturních praktik a projevů přispívají kulturní disciplíny k našemu pochopení složité a vzájemně propojené povahy lidských společností.</w:t>
      </w:r>
    </w:p>
    <w:p w:rsidR="00000000" w:rsidDel="00000000" w:rsidP="00000000" w:rsidRDefault="00000000" w:rsidRPr="00000000" w14:paraId="00000020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left="2160" w:firstLine="0"/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left</wp:align>
            </wp:positionH>
            <wp:positionV relativeFrom="margin">
              <wp:posOffset>5362575</wp:posOffset>
            </wp:positionV>
            <wp:extent cx="1076325" cy="1200150"/>
            <wp:effectExtent b="0" l="0" r="0" t="0"/>
            <wp:wrapSquare wrapText="bothSides" distB="0" distT="0" distL="114300" distR="114300"/>
            <wp:docPr descr="Trigonometry with solid fill" id="7" name="image1.png"/>
            <a:graphic>
              <a:graphicData uri="http://schemas.openxmlformats.org/drawingml/2006/picture">
                <pic:pic>
                  <pic:nvPicPr>
                    <pic:cNvPr descr="Trigonometry with solid fill" id="0" name="image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200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Kulturní disciplíny přispívají k občanským kompetencím tím, že podporují kulturní povědomí, mezikulturní komunikaci, kritické myšlení, globální povědomí a občanskou angažovanost. Podporují porozumění a respekt k různým kulturám, zlepšují komunikační dovednosti napříč kulturami, rozvíjejí schopnosti kritického myšlení, zvyšují povědomí o globálních problémech a inspirují k aktivní účasti na komunitních a společenských záležitostech. Začleněním kulturních disciplín do vzdělávání a společnosti mohou jednotlivci rozvíjet kompetence nezbytné pro inkluzivní, informované a angažované občanství.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spacing w:line="360" w:lineRule="auto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Případová studie 1 – Integration through Culture</w:t>
      </w:r>
    </w:p>
    <w:p w:rsidR="00000000" w:rsidDel="00000000" w:rsidP="00000000" w:rsidRDefault="00000000" w:rsidRPr="00000000" w14:paraId="00000026">
      <w:pPr>
        <w:spacing w:line="360" w:lineRule="auto"/>
        <w:rPr/>
      </w:pPr>
      <w:r w:rsidDel="00000000" w:rsidR="00000000" w:rsidRPr="00000000">
        <w:rPr>
          <w:rtl w:val="0"/>
        </w:rPr>
        <w:t xml:space="preserve">Iniciativa "Integrace prostřednictvím kultury" v Irsku, za níž stojí oddělení pro integraci a podporu irského ministerstva spravedlnosti a rovnosti, je komplexní program určený k podpoře kulturního porozumění a aktivní účasti na kulturních aktivitách, který v konečném důsledku podporuje integraci migrantů a uprchlíků.</w:t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right</wp:align>
            </wp:positionH>
            <wp:positionV relativeFrom="margin">
              <wp:posOffset>440690</wp:posOffset>
            </wp:positionV>
            <wp:extent cx="1323975" cy="1323975"/>
            <wp:effectExtent b="0" l="0" r="0" t="0"/>
            <wp:wrapSquare wrapText="bothSides" distB="0" distT="0" distL="114300" distR="114300"/>
            <wp:docPr descr="Cheers outline" id="3" name="image7.png"/>
            <a:graphic>
              <a:graphicData uri="http://schemas.openxmlformats.org/drawingml/2006/picture">
                <pic:pic>
                  <pic:nvPicPr>
                    <pic:cNvPr descr="Cheers outline" id="0" name="image7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left</wp:align>
            </wp:positionH>
            <wp:positionV relativeFrom="margin">
              <wp:posOffset>1764665</wp:posOffset>
            </wp:positionV>
            <wp:extent cx="1476375" cy="1571625"/>
            <wp:effectExtent b="0" l="0" r="0" t="0"/>
            <wp:wrapSquare wrapText="bothSides" distB="0" distT="0" distL="114300" distR="114300"/>
            <wp:docPr descr="Shamrock with solid fill" id="14" name="image9.png"/>
            <a:graphic>
              <a:graphicData uri="http://schemas.openxmlformats.org/drawingml/2006/picture">
                <pic:pic>
                  <pic:nvPicPr>
                    <pic:cNvPr descr="Shamrock with solid fill" id="0" name="image9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71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Jádrem této iniciativy je využití různých kulturních disciplín jako prostředku pro posílení občanských kompetencí jednotlivců. Prostřednictvím pořádání seminářů, kurzů a akcí zaměřených na irskou historii, literaturu, hudbu, tanec a umění mají účastníci jedinečnou příležitost ponořit se do bohaté tapiserie irské kultury, tradic a dědictví. Kromě toho jsou také povzbuzováni, aby se podělili o své vlastní kulturní zázemí, čímž se podporuje duch vzájemné výměny a uznání.</w:t>
      </w:r>
    </w:p>
    <w:p w:rsidR="00000000" w:rsidDel="00000000" w:rsidP="00000000" w:rsidRDefault="00000000" w:rsidRPr="00000000" w14:paraId="00000028">
      <w:pPr>
        <w:spacing w:line="360" w:lineRule="auto"/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right</wp:align>
            </wp:positionH>
            <wp:positionV relativeFrom="margin">
              <wp:posOffset>3495675</wp:posOffset>
            </wp:positionV>
            <wp:extent cx="1210310" cy="1276350"/>
            <wp:effectExtent b="0" l="0" r="0" t="0"/>
            <wp:wrapSquare wrapText="bothSides" distB="0" distT="0" distL="114300" distR="114300"/>
            <wp:docPr descr="Artist female outline" id="9" name="image10.png"/>
            <a:graphic>
              <a:graphicData uri="http://schemas.openxmlformats.org/drawingml/2006/picture">
                <pic:pic>
                  <pic:nvPicPr>
                    <pic:cNvPr descr="Artist female outline" id="0" name="image10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1276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Aktivním zapojením do těchto kulturních aktivit si účastníci mohou osvojit důležité dovednosti v oblasti mezikulturní komunikace, které jim umožní efektivně se orientovat a komunikovat v irské společnosti. Kromě toho tyto zkušenosti slouží jako katalyzátor pro prohloubení jejich porozumění sociální struktuře irských komunit, čímž usnadňují pocit spojení a sounáležitosti. Iniciativa dále usiluje o spolupráci s kulturními institucemi, komunitními organizacemi a umělci, aby zajistila rozmanitou škálu zážitků, čímž se zvyšuje potenciál pro transformativní setkávání a kulturní výměnu.</w:t>
      </w:r>
    </w:p>
    <w:p w:rsidR="00000000" w:rsidDel="00000000" w:rsidP="00000000" w:rsidRDefault="00000000" w:rsidRPr="00000000" w14:paraId="00000029">
      <w:pPr>
        <w:spacing w:line="360" w:lineRule="auto"/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right</wp:align>
            </wp:positionH>
            <wp:positionV relativeFrom="margin">
              <wp:posOffset>6962775</wp:posOffset>
            </wp:positionV>
            <wp:extent cx="1333500" cy="1276350"/>
            <wp:effectExtent b="0" l="0" r="0" t="0"/>
            <wp:wrapSquare wrapText="bothSides" distB="0" distT="0" distL="114300" distR="114300"/>
            <wp:docPr descr="Brain in head with solid fill" id="15" name="image12.png"/>
            <a:graphic>
              <a:graphicData uri="http://schemas.openxmlformats.org/drawingml/2006/picture">
                <pic:pic>
                  <pic:nvPicPr>
                    <pic:cNvPr descr="Brain in head with solid fill" id="0" name="image12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276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left</wp:align>
            </wp:positionH>
            <wp:positionV relativeFrom="margin">
              <wp:posOffset>5172075</wp:posOffset>
            </wp:positionV>
            <wp:extent cx="1245235" cy="1362075"/>
            <wp:effectExtent b="0" l="0" r="0" t="0"/>
            <wp:wrapSquare wrapText="bothSides" distB="0" distT="0" distL="114300" distR="114300"/>
            <wp:docPr descr="Hero Male with solid fill" id="5" name="image3.png"/>
            <a:graphic>
              <a:graphicData uri="http://schemas.openxmlformats.org/drawingml/2006/picture">
                <pic:pic>
                  <pic:nvPicPr>
                    <pic:cNvPr descr="Hero Male with solid fill" id="0" name="image3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1362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Cíle iniciativy "Integrace prostřednictvím kultury" jsou mnohostranné. Zaprvé se snaží vybudovat u jednotlivců pocit sounáležitosti a pomoci jim navázat smysluplná spojení s přijatými komunitami. Za druhé, podporou aktivního občanství iniciativa umožňuje účastníkům aktivně se zapojit do utváření jejich místních komunit a přispívat společnosti. Díky uznání síly kulturní angažovanosti se iniciativa snaží podporovat sociální soudržnost a budovat inkluzivní komunity, v nichž je oceňována a oslavována rozmanitost.</w:t>
      </w:r>
    </w:p>
    <w:p w:rsidR="00000000" w:rsidDel="00000000" w:rsidP="00000000" w:rsidRDefault="00000000" w:rsidRPr="00000000" w14:paraId="0000002A">
      <w:pPr>
        <w:spacing w:line="360" w:lineRule="auto"/>
        <w:rPr/>
      </w:pPr>
      <w:r w:rsidDel="00000000" w:rsidR="00000000" w:rsidRPr="00000000">
        <w:rPr>
          <w:rtl w:val="0"/>
        </w:rPr>
        <w:t xml:space="preserve">Iniciativa "Integrace prostřednictvím kultury" představuje významnou ambici zaměřenou na podporu integrace, podporu kulturního uznání a posílení postavení jednotlivců v irské společnosti.</w:t>
      </w:r>
    </w:p>
    <w:p w:rsidR="00000000" w:rsidDel="00000000" w:rsidP="00000000" w:rsidRDefault="00000000" w:rsidRPr="00000000" w14:paraId="0000002B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Q. Na co se zaměřuje iniciativa "Integrace prostřednictvím kultury"?</w:t>
      </w:r>
    </w:p>
    <w:p w:rsidR="00000000" w:rsidDel="00000000" w:rsidP="00000000" w:rsidRDefault="00000000" w:rsidRPr="00000000" w14:paraId="0000002C">
      <w:pPr>
        <w:spacing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D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Q. Napadají vás nějaké problémy, se kterými se tato iniciativa může u účastníků setkat?</w:t>
      </w:r>
    </w:p>
    <w:p w:rsidR="00000000" w:rsidDel="00000000" w:rsidP="00000000" w:rsidRDefault="00000000" w:rsidRPr="00000000" w14:paraId="0000002E">
      <w:pPr>
        <w:spacing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F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Q. Napadají vás nějaké kulturní disciplíny, které se vám líbí a které zahrnují občanství?</w:t>
      </w:r>
    </w:p>
    <w:p w:rsidR="00000000" w:rsidDel="00000000" w:rsidP="00000000" w:rsidRDefault="00000000" w:rsidRPr="00000000" w14:paraId="00000030">
      <w:pPr>
        <w:spacing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Aktivita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24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838"/>
        <w:gridCol w:w="2552"/>
        <w:gridCol w:w="1701"/>
        <w:gridCol w:w="3133"/>
        <w:tblGridChange w:id="0">
          <w:tblGrid>
            <w:gridCol w:w="1838"/>
            <w:gridCol w:w="2552"/>
            <w:gridCol w:w="1701"/>
            <w:gridCol w:w="3133"/>
          </w:tblGrid>
        </w:tblGridChange>
      </w:tblGrid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Téma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Kulturní disciplíny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Název 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Průzkum kulturních artefaktů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Typ zdroje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ded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Vzdělávací aktivita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Foto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3114675" cy="2076450"/>
                  <wp:effectExtent b="0" l="0" r="0" t="0"/>
                  <wp:docPr id="11" name="image6.jpg"/>
                  <a:graphic>
                    <a:graphicData uri="http://schemas.openxmlformats.org/drawingml/2006/picture">
                      <pic:pic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675" cy="20764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color w:val="0563c1"/>
                  <w:sz w:val="24"/>
                  <w:szCs w:val="24"/>
                  <w:u w:val="single"/>
                  <w:rtl w:val="0"/>
                </w:rPr>
                <w:t xml:space="preserve">Photo by Zalfa Imani on Unsplash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Doba trvání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60-90 minut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04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Vzdělávací výstupy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pacing w:after="0" w:line="24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Zlepšení dovedností kritického myšlení</w:t>
            </w:r>
          </w:p>
        </w:tc>
      </w:tr>
      <w:tr>
        <w:trPr>
          <w:cantSplit w:val="0"/>
          <w:trHeight w:val="13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Cíl aktivity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Cílem této aktivity je krátce prozkoumat kulturní artefakt, zamyslet se nad jeho kulturním významem a zvážit jeho význam pro občanství.</w:t>
            </w:r>
          </w:p>
        </w:tc>
      </w:tr>
      <w:tr>
        <w:trPr>
          <w:cantSplit w:val="0"/>
          <w:trHeight w:val="134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Materiály potřebné k činnosti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Přístup k internetu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Tužka a papír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Pero nebo tužka</w:t>
            </w:r>
          </w:p>
        </w:tc>
      </w:tr>
      <w:tr>
        <w:trPr>
          <w:cantSplit w:val="0"/>
          <w:trHeight w:val="1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Pokyny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Při plnění této aktivity postupujte krok za krokem:</w:t>
            </w:r>
          </w:p>
          <w:p w:rsidR="00000000" w:rsidDel="00000000" w:rsidP="00000000" w:rsidRDefault="00000000" w:rsidRPr="00000000" w14:paraId="00000056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Krok 1: Vyberte si kulturní artefakt, který vás zajímá, například obraz, sochu, hudební nástroj, tradiční oděv nebo historický artefakt.</w:t>
            </w:r>
          </w:p>
          <w:p w:rsidR="00000000" w:rsidDel="00000000" w:rsidP="00000000" w:rsidRDefault="00000000" w:rsidRPr="00000000" w14:paraId="00000058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Krok 2: Pomocí internetu vyhledejte informace o daném kulturním artefaktu. Zjistěte si informace o jeho původu, historickém významu, kulturním kontextu a případných zajímavých příbězích nebo symbolice, která se k němu váže.</w:t>
            </w:r>
          </w:p>
          <w:p w:rsidR="00000000" w:rsidDel="00000000" w:rsidP="00000000" w:rsidRDefault="00000000" w:rsidRPr="00000000" w14:paraId="0000005A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Krok 3: Zamyslete se nad významem artefaktu pro občanství. Zamyslete se nad tím, jak reprezentuje nebo ztělesňuje kulturní hodnoty, tradice nebo identitu. Zamyslete se nad možným dopadem artefaktu na podporu porozumění a uznání různých kultur.</w:t>
            </w:r>
          </w:p>
          <w:p w:rsidR="00000000" w:rsidDel="00000000" w:rsidP="00000000" w:rsidRDefault="00000000" w:rsidRPr="00000000" w14:paraId="0000005C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Krok 4: Napište stručný popis kulturního artefaktu s důrazem na jeho klíčové vlastnosti, historické pozadí a kulturní význam. Připojte jakékoli osobní postřehy nebo myšlenky týkající se jeho vztahu k občanství a kulturní rozmanitosti.</w:t>
            </w:r>
          </w:p>
          <w:p w:rsidR="00000000" w:rsidDel="00000000" w:rsidP="00000000" w:rsidRDefault="00000000" w:rsidRPr="00000000" w14:paraId="0000005E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360" w:lineRule="auto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Krok 5: Podělte se o svůj popis s kamarádem, členem rodiny nebo spolužákem. Diskutujte o tom, jaký vliv má artefakt na vaše chápání různých kultur a jak souvisí s kompetencemi v oblasti občanství. Vyměňte si názory a postřehy.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1"/>
        <w:spacing w:line="360" w:lineRule="auto"/>
        <w:rPr/>
      </w:pPr>
      <w:bookmarkStart w:colFirst="0" w:colLast="0" w:name="_3znysh7" w:id="3"/>
      <w:bookmarkEnd w:id="3"/>
      <w:r w:rsidDel="00000000" w:rsidR="00000000" w:rsidRPr="00000000">
        <w:rPr>
          <w:rtl w:val="0"/>
        </w:rPr>
        <w:t xml:space="preserve">Další zdroje pro čtení</w:t>
      </w:r>
    </w:p>
    <w:tbl>
      <w:tblPr>
        <w:tblStyle w:val="Table2"/>
        <w:tblW w:w="9072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5"/>
        <w:gridCol w:w="7087"/>
        <w:tblGridChange w:id="0">
          <w:tblGrid>
            <w:gridCol w:w="1985"/>
            <w:gridCol w:w="7087"/>
          </w:tblGrid>
        </w:tblGridChange>
      </w:tblGrid>
      <w:tr>
        <w:trPr>
          <w:cantSplit w:val="0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64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b w:val="1"/>
                <w:color w:val="ffffff"/>
                <w:rtl w:val="0"/>
              </w:rPr>
              <w:t xml:space="preserve">Název zdroje: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120" w:before="12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Strategie integrace migrantů</w:t>
            </w:r>
          </w:p>
        </w:tc>
      </w:tr>
      <w:tr>
        <w:trPr>
          <w:cantSplit w:val="0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66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Téma: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spacing w:after="120" w:before="120"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Budování občanství prostřednictvím kulturní integrace</w:t>
            </w:r>
          </w:p>
        </w:tc>
      </w:tr>
      <w:tr>
        <w:trPr>
          <w:cantSplit w:val="0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68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Úvod: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120" w:before="12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Strategie integrace migrantů, zveřejněná 7. února 2017, nastiňuje přístup vlády k integraci migrantů v Irsku v letech 2017 až 2020. Zdůrazňuje celovládní přístup zahrnující opatření všech resortů. Strategie byla určena všem migrantům, včetně uprchlíků, kteří v zemi pobývají legálně, i těm, kteří se stali naturalizovanými irskými občany, ale narodili se mimo Irsko.</w:t>
            </w:r>
          </w:p>
        </w:tc>
      </w:tr>
      <w:tr>
        <w:trPr>
          <w:cantSplit w:val="0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6A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bookmarkStart w:colFirst="0" w:colLast="0" w:name="_tyjcwt" w:id="5"/>
            <w:bookmarkEnd w:id="5"/>
            <w:r w:rsidDel="00000000" w:rsidR="00000000" w:rsidRPr="00000000">
              <w:rPr>
                <w:b w:val="1"/>
                <w:color w:val="ffffff"/>
                <w:rtl w:val="0"/>
              </w:rPr>
              <w:t xml:space="preserve">Co vám používání tohoto zdroje přinese?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120" w:before="12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Pomocí tohoto zdroje můžete získat přehled o 76 opatřeních uvedených ve strategii integrace migrantů. Tato opatření zahrnují širokou škálu témat, včetně občanství a pobytu, přístupu k veřejným službám a sociálnímu začlenění, vzdělávání, zaměstnanosti, zdraví, integrace v komunitě, politické účasti, podpory mezikulturního povědomí, boje proti rasismu a xenofobii, jakož i dobrovolnictví a sportu. Akce provádějí různé zúčastněné strany, například vládní úřady, místní orgány, veřejné subjekty, komunity, podniky, umělecké organizace a nevládní organizace.</w:t>
            </w:r>
          </w:p>
        </w:tc>
      </w:tr>
      <w:tr>
        <w:trPr>
          <w:cantSplit w:val="0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6C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Odkaz: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120" w:before="120" w:line="276" w:lineRule="auto"/>
              <w:jc w:val="both"/>
              <w:rPr>
                <w:color w:val="000000"/>
                <w:highlight w:val="yellow"/>
              </w:rPr>
            </w:pPr>
            <w:hyperlink r:id="rId23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https://assets.gov.ie/137895/0ead4b3a-311c-414b-8b65-5ce414c70693.pdf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72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5"/>
        <w:gridCol w:w="7087"/>
        <w:tblGridChange w:id="0">
          <w:tblGrid>
            <w:gridCol w:w="1985"/>
            <w:gridCol w:w="7087"/>
          </w:tblGrid>
        </w:tblGridChange>
      </w:tblGrid>
      <w:tr>
        <w:trPr>
          <w:cantSplit w:val="0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6F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Název zdroje: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120" w:before="120"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Výhody různorodých týmů na pracovišti</w:t>
            </w:r>
          </w:p>
        </w:tc>
      </w:tr>
      <w:tr>
        <w:trPr>
          <w:cantSplit w:val="0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71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Téma: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spacing w:after="120" w:before="120"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Hlavní výhody a výzvy, kterým čelí různorodé týmy</w:t>
            </w:r>
          </w:p>
        </w:tc>
      </w:tr>
      <w:tr>
        <w:trPr>
          <w:cantSplit w:val="0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73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Úvod: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120" w:before="12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Tento materiál se zabývá výhodami vytváření různorodých týmů v organizacích. Zdůrazňuje, jak je důležité mít v týmu členy s různým zázemím a dovednostmi a jak to může pozitivně ovlivnit produktivitu, kulturu a morálku. Zdroj se také zabývá problémy, s nimiž se různorodé týmy mohou setkat, a poskytuje tipy, jak tyto překážky překonat.</w:t>
            </w:r>
          </w:p>
        </w:tc>
      </w:tr>
      <w:tr>
        <w:trPr>
          <w:cantSplit w:val="0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75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Co vám používání tohoto zdroje přinese?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120" w:before="120"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Pomocí tohoto zdroje získáte přehled o výhodách různorodých týmů a o tom, jak mohou zlepšit provozní výsledky a výkonnost na trhu. Dozvíte se o zvýšené kreativitě, lepších schopnostech řešení problémů, posílených dovednostech, vyšších ziscích a příjmech, zvýšené angažovanosti zaměstnanců, lepší pověsti společnosti a posílené morálce týmu, které přinášejí různorodé týmy. Kromě toho zdroj poskytuje vhled do problémů, kterým mohou různorodé týmy čelit, jako jsou komunikační bariéry, kulturní rozdíly, pomalejší rozhodování a týmová zaujatost. Nabízí také praktické tipy, jak tyto překážky překonat, včetně identifikace jazykových a komunikačních bariér, stanovení pracovních hranic, zavedení termínů a přidělení týmového mediátora. Celkově vás tento zdroj vybaví znalostmi a strategiemi, které vám umožní využít výhod různorodých týmů a efektivně se vypořádat s potenciálními problémy.</w:t>
            </w:r>
          </w:p>
        </w:tc>
      </w:tr>
      <w:tr>
        <w:trPr>
          <w:cantSplit w:val="0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77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Odkaz: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120" w:before="120" w:line="276" w:lineRule="auto"/>
              <w:jc w:val="both"/>
              <w:rPr>
                <w:color w:val="000000"/>
                <w:highlight w:val="yellow"/>
              </w:rPr>
            </w:pPr>
            <w:hyperlink r:id="rId24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https://www.indeed.com/career-advice/career-development/diverse-team-benefits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spacing w:line="360" w:lineRule="auto"/>
        <w:rPr/>
        <w:sectPr>
          <w:headerReference r:id="rId25" w:type="default"/>
          <w:footerReference r:id="rId26" w:type="default"/>
          <w:type w:val="nextPage"/>
          <w:pgSz w:h="16838" w:w="11906" w:orient="portrait"/>
          <w:pgMar w:bottom="1440" w:top="1440" w:left="1440" w:right="1440" w:header="340" w:footer="0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/>
      </w:pPr>
      <w:r w:rsidDel="00000000" w:rsidR="00000000" w:rsidRPr="00000000">
        <w:rPr>
          <w:rFonts w:ascii="Source Sans Pro" w:cs="Source Sans Pro" w:eastAsia="Source Sans Pro" w:hAnsi="Source Sans Pro"/>
          <w:color w:val="00000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-914398</wp:posOffset>
            </wp:positionH>
            <wp:positionV relativeFrom="margin">
              <wp:posOffset>-931543</wp:posOffset>
            </wp:positionV>
            <wp:extent cx="7625715" cy="10765155"/>
            <wp:effectExtent b="0" l="0" r="0" t="0"/>
            <wp:wrapSquare wrapText="bothSides" distB="0" distT="0" distL="114300" distR="114300"/>
            <wp:docPr descr="Timeline&#10;&#10;Description automatically generated" id="6" name="image14.png"/>
            <a:graphic>
              <a:graphicData uri="http://schemas.openxmlformats.org/drawingml/2006/picture">
                <pic:pic>
                  <pic:nvPicPr>
                    <pic:cNvPr descr="Timeline&#10;&#10;Description automatically generated" id="0" name="image14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Source Sans Pro" w:cs="Source Sans Pro" w:eastAsia="Source Sans Pro" w:hAnsi="Source Sans Pro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28" w:type="first"/>
      <w:footerReference r:id="rId29" w:type="first"/>
      <w:type w:val="nextPage"/>
      <w:pgSz w:h="16838" w:w="11906" w:orient="portrait"/>
      <w:pgMar w:bottom="1440" w:top="1440" w:left="1440" w:right="1440" w:header="0" w:footer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Bebas Neue">
    <w:embedRegular w:fontKey="{00000000-0000-0000-0000-000000000000}" r:id="rId1" w:subsetted="0"/>
  </w:font>
  <w:font w:name="Noto Sans Symbols">
    <w:embedRegular w:fontKey="{00000000-0000-0000-0000-000000000000}" r:id="rId2" w:subsetted="0"/>
    <w:embedBold w:fontKey="{00000000-0000-0000-0000-000000000000}" r:id="rId3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  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-1231899</wp:posOffset>
              </wp:positionH>
              <wp:positionV relativeFrom="paragraph">
                <wp:posOffset>-723899</wp:posOffset>
              </wp:positionV>
              <wp:extent cx="8035471" cy="925204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347315" y="3336448"/>
                        <a:ext cx="7997371" cy="887104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DE7E"/>
                          </a:gs>
                          <a:gs pos="50000">
                            <a:srgbClr val="FFE9B1"/>
                          </a:gs>
                          <a:gs pos="100000">
                            <a:srgbClr val="FFF2D9"/>
                          </a:gs>
                        </a:gsLst>
                        <a:lin ang="10800000" scaled="0"/>
                      </a:gradFill>
                      <a:ln cap="flat" cmpd="sng" w="19050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-1231899</wp:posOffset>
              </wp:positionH>
              <wp:positionV relativeFrom="paragraph">
                <wp:posOffset>-723899</wp:posOffset>
              </wp:positionV>
              <wp:extent cx="8035471" cy="925204"/>
              <wp:effectExtent b="0" l="0" r="0" t="0"/>
              <wp:wrapNone/>
              <wp:docPr id="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35471" cy="92520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align>left</wp:align>
          </wp:positionH>
          <wp:positionV relativeFrom="page">
            <wp:posOffset>264795</wp:posOffset>
          </wp:positionV>
          <wp:extent cx="1853565" cy="387985"/>
          <wp:effectExtent b="0" l="0" r="0" t="0"/>
          <wp:wrapSquare wrapText="bothSides" distB="0" distT="0" distL="114300" distR="114300"/>
          <wp:docPr id="10" name="image11.jpg"/>
          <a:graphic>
            <a:graphicData uri="http://schemas.openxmlformats.org/drawingml/2006/picture">
              <pic:pic>
                <pic:nvPicPr>
                  <pic:cNvPr id="0" name="image1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53565" cy="3879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color w:val="000000"/>
        <w:rtl w:val="0"/>
      </w:rPr>
      <w:t xml:space="preserve">                                                                                             </w:t>
    </w:r>
    <w:r w:rsidDel="00000000" w:rsidR="00000000" w:rsidRPr="00000000">
      <w:rPr>
        <w:color w:val="000000"/>
      </w:rPr>
      <w:drawing>
        <wp:inline distB="0" distT="0" distL="0" distR="0">
          <wp:extent cx="874632" cy="618328"/>
          <wp:effectExtent b="0" l="0" r="0" t="0"/>
          <wp:docPr descr="A picture containing icon&#10;&#10;Description automatically generated" id="13" name="image13.png"/>
          <a:graphic>
            <a:graphicData uri="http://schemas.openxmlformats.org/drawingml/2006/picture">
              <pic:pic>
                <pic:nvPicPr>
                  <pic:cNvPr descr="A picture containing icon&#10;&#10;Description automatically generated" id="0" name="image1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4632" cy="61832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libri" w:cs="Calibri" w:eastAsia="Calibri" w:hAnsi="Calibri"/>
      <w:color w:val="225c9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.png"/><Relationship Id="rId22" Type="http://schemas.openxmlformats.org/officeDocument/2006/relationships/hyperlink" Target="https://images.unsplash.com/photo-1606819717115-9159c900370b?ixlib=rb-4.0.3&amp;ixid=M3wxMjA3fDB8MHxwaG90by1wYWdlfHx8fGVufDB8fHx8fA%3D%3D&amp;auto=format&amp;fit=crop&amp;w=1170&amp;q=80" TargetMode="External"/><Relationship Id="rId21" Type="http://schemas.openxmlformats.org/officeDocument/2006/relationships/image" Target="media/image6.jpg"/><Relationship Id="rId24" Type="http://schemas.openxmlformats.org/officeDocument/2006/relationships/hyperlink" Target="https://www.indeed.com/career-advice/career-development/diverse-team-benefits" TargetMode="External"/><Relationship Id="rId23" Type="http://schemas.openxmlformats.org/officeDocument/2006/relationships/hyperlink" Target="https://assets.gov.ie/137895/0ead4b3a-311c-414b-8b65-5ce414c70693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26" Type="http://schemas.openxmlformats.org/officeDocument/2006/relationships/footer" Target="footer3.xml"/><Relationship Id="rId25" Type="http://schemas.openxmlformats.org/officeDocument/2006/relationships/header" Target="header3.xml"/><Relationship Id="rId28" Type="http://schemas.openxmlformats.org/officeDocument/2006/relationships/header" Target="header4.xml"/><Relationship Id="rId27" Type="http://schemas.openxmlformats.org/officeDocument/2006/relationships/image" Target="media/image14.png"/><Relationship Id="rId5" Type="http://schemas.openxmlformats.org/officeDocument/2006/relationships/styles" Target="styles.xml"/><Relationship Id="rId6" Type="http://schemas.openxmlformats.org/officeDocument/2006/relationships/header" Target="header2.xml"/><Relationship Id="rId29" Type="http://schemas.openxmlformats.org/officeDocument/2006/relationships/footer" Target="footer4.xml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11" Type="http://schemas.openxmlformats.org/officeDocument/2006/relationships/image" Target="media/image16.png"/><Relationship Id="rId10" Type="http://schemas.openxmlformats.org/officeDocument/2006/relationships/image" Target="media/image4.png"/><Relationship Id="rId13" Type="http://schemas.openxmlformats.org/officeDocument/2006/relationships/image" Target="media/image5.png"/><Relationship Id="rId12" Type="http://schemas.openxmlformats.org/officeDocument/2006/relationships/image" Target="media/image8.png"/><Relationship Id="rId15" Type="http://schemas.openxmlformats.org/officeDocument/2006/relationships/image" Target="media/image1.png"/><Relationship Id="rId14" Type="http://schemas.openxmlformats.org/officeDocument/2006/relationships/image" Target="media/image2.png"/><Relationship Id="rId17" Type="http://schemas.openxmlformats.org/officeDocument/2006/relationships/image" Target="media/image9.png"/><Relationship Id="rId16" Type="http://schemas.openxmlformats.org/officeDocument/2006/relationships/image" Target="media/image7.png"/><Relationship Id="rId19" Type="http://schemas.openxmlformats.org/officeDocument/2006/relationships/image" Target="media/image12.png"/><Relationship Id="rId18" Type="http://schemas.openxmlformats.org/officeDocument/2006/relationships/image" Target="media/image10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basNeue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1.jpg"/><Relationship Id="rId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0a7c346f6d6fe3142f576e459c84555052365658d2af9f9b4101022a58ef9b7d</vt:lpwstr>
  </property>
</Properties>
</file>