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900"/>
        </w:tabs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-142238</wp:posOffset>
            </wp:positionH>
            <wp:positionV relativeFrom="margin">
              <wp:posOffset>-239393</wp:posOffset>
            </wp:positionV>
            <wp:extent cx="7625715" cy="10782300"/>
            <wp:effectExtent b="0" l="0" r="0" t="0"/>
            <wp:wrapSquare wrapText="bothSides" distB="0" distT="0" distL="114300" distR="114300"/>
            <wp:docPr descr="Shape&#10;&#10;Description automatically generated" id="7" name="image2.png"/>
            <a:graphic>
              <a:graphicData uri="http://schemas.openxmlformats.org/drawingml/2006/picture">
                <pic:pic>
                  <pic:nvPicPr>
                    <pic:cNvPr descr="Shape&#10;&#10;Description automatically generated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1988820</wp:posOffset>
                </wp:positionV>
                <wp:extent cx="4905375" cy="2803525"/>
                <wp:effectExtent b="0" l="0" r="0" t="0"/>
                <wp:wrapSquare wrapText="bothSides" distB="45720" distT="45720" distL="114300" distR="11430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98075" y="2383000"/>
                          <a:ext cx="4895850" cy="279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  <w:t xml:space="preserve">Občanské kompetence a digitální a sociální témata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f5b335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ebas Neue" w:cs="Bebas Neue" w:eastAsia="Bebas Neue" w:hAnsi="Bebas Neu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4"/>
                                <w:vertAlign w:val="baseline"/>
                              </w:rPr>
                              <w:t xml:space="preserve">Handout PRO STUDENTY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2032000</wp:posOffset>
                </wp:positionH>
                <wp:positionV relativeFrom="paragraph">
                  <wp:posOffset>1988820</wp:posOffset>
                </wp:positionV>
                <wp:extent cx="4905375" cy="2803525"/>
                <wp:effectExtent b="0" l="0" r="0" t="0"/>
                <wp:wrapSquare wrapText="bothSides" distB="45720" distT="45720" distL="114300" distR="114300"/>
                <wp:docPr id="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5375" cy="2803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f5496"/>
          <w:sz w:val="32"/>
          <w:szCs w:val="32"/>
          <w:u w:val="none"/>
          <w:shd w:fill="auto" w:val="clear"/>
          <w:vertAlign w:val="baseline"/>
          <w:rtl w:val="0"/>
        </w:rPr>
        <w:t xml:space="preserve">Obsah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je to občanství ?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 je to občanská kompetence?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Jaká je souvislost mezi občanstvím a digitálními a sociálními obory?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Případová studie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Vzdělávací aktivita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16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Další četba nebo studijní materiál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0A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Bebas Neue" w:cs="Bebas Neue" w:eastAsia="Bebas Neue" w:hAnsi="Bebas Neue"/>
          <w:color w:val="ff99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Co je to občanství ?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Občanství je soubor práv a povinností, kterým občan nebo jednotlivec podléhá ve vztahu ke společnosti, v níž žije. Slovo "občanství" je odvozeno z latinského "civitas", což znamená "město". Základem občanství je tedy to, že občan je součástí zavedeného společenství. </w:t>
      </w:r>
    </w:p>
    <w:p w:rsidR="00000000" w:rsidDel="00000000" w:rsidP="00000000" w:rsidRDefault="00000000" w:rsidRPr="00000000" w14:paraId="0000001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Občanství s sebou nese povinnosti, které musí občan plnit, aby mohl žít v souladu se zbytkem společnosti. Myšlenka občanství je spojena s právem, zejména pokud jde o politická práva, bez nichž se člověk nemůže vměšovat do státních záležitostí a která mu umožňují přímo či nepřímo se podílet na vládě a následné správě prostřednictvím přímého hlasování při volbě nebo nepřímo soutěžit o veřejné poplatky.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3225800</wp:posOffset>
            </wp:positionH>
            <wp:positionV relativeFrom="paragraph">
              <wp:posOffset>138430</wp:posOffset>
            </wp:positionV>
            <wp:extent cx="2518410" cy="1678305"/>
            <wp:effectExtent b="0" l="0" r="0" t="0"/>
            <wp:wrapSquare wrapText="bothSides" distB="0" distT="0" distL="114300" distR="11430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678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1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Co je to občanská kompetence?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Občanská kompetence je schopnost jednat jako odpovědný občan a plně se zapojit do občanského a společenského života na základě porozumění sociálním, ekonomickým, právním a politickým konceptům a strukturám, měnícím se podmínkám světa a udržitelnému rozvoji. Existují čtyři popisné znaky této kompetence: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31117</wp:posOffset>
            </wp:positionH>
            <wp:positionV relativeFrom="paragraph">
              <wp:posOffset>34290</wp:posOffset>
            </wp:positionV>
            <wp:extent cx="1416050" cy="1543050"/>
            <wp:effectExtent b="0" l="0" r="0" t="0"/>
            <wp:wrapSquare wrapText="bothSides" distB="0" distT="0" distL="114300" distR="11430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43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účastnit se komunitních aktivit a přispívat k řešení konfliktů prostřednictvím dialogu způsobem, který respektuje demokratické postupy, lidská práva, kulturní rozmanitost, rovnost pohlaví, sociální soudržnost a udržitelný rozvoj.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pochopit vztahy mezi lidskou činností a naším okolím a začít si osvojovat udržitelné návyky k příspění zachování biologické rozmanitosti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3865245</wp:posOffset>
            </wp:positionH>
            <wp:positionV relativeFrom="paragraph">
              <wp:posOffset>-281303</wp:posOffset>
            </wp:positionV>
            <wp:extent cx="1911350" cy="1273810"/>
            <wp:effectExtent b="0" l="0" r="0" t="0"/>
            <wp:wrapSquare wrapText="bothSides" distB="0" distT="0" distL="114300" distR="114300"/>
            <wp:docPr id="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273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diskutovat o hodnotách a aktuálních etických otázkách a respektovat rozdíly mezi kulturami a ideologiemi, odmítat předsudky a stereotypy.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203200</wp:posOffset>
            </wp:positionH>
            <wp:positionV relativeFrom="paragraph">
              <wp:posOffset>-241298</wp:posOffset>
            </wp:positionV>
            <wp:extent cx="1689100" cy="1266190"/>
            <wp:effectExtent b="0" l="0" r="0" t="0"/>
            <wp:wrapSquare wrapText="bothSides" distB="0" distT="0" distL="114300" distR="11430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12661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3371850</wp:posOffset>
            </wp:positionH>
            <wp:positionV relativeFrom="paragraph">
              <wp:posOffset>137160</wp:posOffset>
            </wp:positionV>
            <wp:extent cx="2406650" cy="1353820"/>
            <wp:effectExtent b="0" l="0" r="0" t="0"/>
            <wp:wrapSquare wrapText="bothSides" distB="0" distT="0" distL="114300" distR="114300"/>
            <wp:docPr id="3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353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720" w:firstLine="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- porozumět nejdůležitějším historickým a společenským faktům týkajícím se vaší identity a kultury, reflektovat normy pro soužití.  </w:t>
      </w:r>
    </w:p>
    <w:p w:rsidR="00000000" w:rsidDel="00000000" w:rsidP="00000000" w:rsidRDefault="00000000" w:rsidRPr="00000000" w14:paraId="0000002B">
      <w:pPr>
        <w:pStyle w:val="Heading1"/>
        <w:jc w:val="both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jc w:val="both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Jaká je souvislost mezi občanstvím a digitálními a sociálními obory?</w:t>
      </w:r>
    </w:p>
    <w:p w:rsidR="00000000" w:rsidDel="00000000" w:rsidP="00000000" w:rsidRDefault="00000000" w:rsidRPr="00000000" w14:paraId="0000002D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Spojení mezi občanstvím a digitálními a sociálními obory se nazývá "digitální občanství". Rada Evropy definuje digitálního občana jako člověka, který je díky rozvoji široké škály kompetencí schopen aktivně, pozitivně a odpovědně se zapojit do místních, národních i globálních komunit, a to jak na internetu, tak i mimo něj. </w:t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Rada Evropy uvádí, že "digitální občanství a zapojení zahrnuje širokou škálu činností, od vytváření, konzumace, sdílení, hraní a socializace až po zkoumání, komunikaci, učení a práci. Kompetentní digitální občané jsou schopni reagovat na nové a každodenní výzvy související se vzděláváním, prací, zaměstnatelností, volným časem, začleněním a účastí ve společnosti, respektováním lidských práv a mezikulturních rozdílů".</w:t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Kompetence občanství si tedy můžete vybudovat prostřednictvím digitálních a sociálních oborů tím, že budete věnovat pozornost internetu a sociálním médiím.</w:t>
      </w:r>
    </w:p>
    <w:p w:rsidR="00000000" w:rsidDel="00000000" w:rsidP="00000000" w:rsidRDefault="00000000" w:rsidRPr="00000000" w14:paraId="00000030">
      <w:pPr>
        <w:pStyle w:val="Heading1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Případová studie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EUcraft je digitální simulační hra vytvořená Evropskou unií. Jejím cílem je vyjednávat a dosáhnout dohody v Radě EU.. </w:t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Komentář:</w:t>
      </w:r>
      <w:r w:rsidDel="00000000" w:rsidR="00000000" w:rsidRPr="00000000">
        <w:rPr>
          <w:sz w:val="24"/>
          <w:szCs w:val="24"/>
          <w:rtl w:val="0"/>
        </w:rPr>
        <w:t xml:space="preserve"> Rada EU, nazývaná také Rada, je evropskou institucí. Je jedním ze dvou zákonodárných orgánů a spolu s Evropským parlamentem slouží ke změně a schvalování návrhů Evropské komise nebo k jejich vetování. Tato instituce je čistě mezivládní a skládá se z 27 ministrů členských států. V závislosti na projednávaných tématech se ministři mění. Například pokud se jedná o návrh týkající se rybolovných kvót, který je třeba projednat, bude o návrzích jednat 27 národních ministrů zemědělství.</w:t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0" distT="0" distL="0" distR="0">
            <wp:extent cx="2798689" cy="1867613"/>
            <wp:effectExtent b="0" l="0" r="0" t="0"/>
            <wp:docPr descr="Europa building session room" id="9" name="image5.jpg"/>
            <a:graphic>
              <a:graphicData uri="http://schemas.openxmlformats.org/drawingml/2006/picture">
                <pic:pic>
                  <pic:nvPicPr>
                    <pic:cNvPr descr="Europa building session room" id="0" name="image5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8689" cy="1867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Budova Europa, Brusel, Belgie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3955415</wp:posOffset>
            </wp:positionH>
            <wp:positionV relativeFrom="paragraph">
              <wp:posOffset>240665</wp:posOffset>
            </wp:positionV>
            <wp:extent cx="2133600" cy="1422400"/>
            <wp:effectExtent b="0" l="0" r="0" t="0"/>
            <wp:wrapSquare wrapText="bothSides" distB="0" distT="0" distL="114300" distR="114300"/>
            <wp:docPr descr="https://learning-corner.learning.europa.eu/sites/default/files/styles/oe_theme_ratio_3_2_medium/public/2022-12/EU-craft-thumb.png?itok=L09-_fU7" id="13" name="image6.png"/>
            <a:graphic>
              <a:graphicData uri="http://schemas.openxmlformats.org/drawingml/2006/picture">
                <pic:pic>
                  <pic:nvPicPr>
                    <pic:cNvPr descr="https://learning-corner.learning.europa.eu/sites/default/files/styles/oe_theme_ratio_3_2_medium/public/2022-12/EU-craft-thumb.png?itok=L09-_fU7"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 této hře si zahrajete na národního ministra a objevíte rozhodovací proces EU při vyjednávání o skutečných otázkách, které jsou vám blízké. Můžete vyjednávat o univerzální nabíječce pro všechna zařízení, přechodu na elektromobily a ekologičtější budovy nebo o zákazu jednorázových plastů.</w:t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Tato hra pomáhá rozvíjet digitální dovednosti včetně psaní online, připojení k zařízení, vytvoření účtu a používání IT nástrojů. Současně budete rozvíjet své občanské kompetence. Tím, že se ocitnete v kůži ministra vybrané země, poznáte náročnost rozhodovacího procesu, dozvíte se více o Evropské unii, budete diskutovat o různých současných politikách a naučíte se formulovat vlastní názor na danou problematiku. V neposlední řadě vám poskytne základní nástroje k tomu, abyste se mohli zapojit do života společnosti. 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Chcete-li se o tomto programu dozvědět více, podívejte se na </w:t>
      </w:r>
      <w:r w:rsidDel="00000000" w:rsidR="00000000" w:rsidRPr="00000000">
        <w:rPr>
          <w:color w:val="0563c1"/>
          <w:sz w:val="24"/>
          <w:szCs w:val="24"/>
          <w:u w:val="single"/>
          <w:rtl w:val="0"/>
        </w:rPr>
        <w:t xml:space="preserve">web</w:t>
      </w:r>
      <w:r w:rsidDel="00000000" w:rsidR="00000000" w:rsidRPr="00000000">
        <w:rPr>
          <w:sz w:val="24"/>
          <w:szCs w:val="24"/>
          <w:rtl w:val="0"/>
        </w:rPr>
        <w:t xml:space="preserve">. Hru si můžete stáhnout také v App Store nebo Google Play.</w:t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Na jaké problémy se hra EUcraft zaměřuje?</w:t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Chtěli byste se této hry zúčastnit a rozvíjet tak své občanské kompetence a být aktivním občanem?</w:t>
      </w:r>
    </w:p>
    <w:p w:rsidR="00000000" w:rsidDel="00000000" w:rsidP="00000000" w:rsidRDefault="00000000" w:rsidRPr="00000000" w14:paraId="0000003F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Q. Napadají vás nějaké sociální sítě a digitální nástroje, které vás baví a které zahrnují občanské dovednosti?</w:t>
      </w:r>
    </w:p>
    <w:p w:rsidR="00000000" w:rsidDel="00000000" w:rsidP="00000000" w:rsidRDefault="00000000" w:rsidRPr="00000000" w14:paraId="00000042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43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Vzdělávací aktivita</w:t>
      </w:r>
    </w:p>
    <w:p w:rsidR="00000000" w:rsidDel="00000000" w:rsidP="00000000" w:rsidRDefault="00000000" w:rsidRPr="00000000" w14:paraId="0000004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 </w:t>
      </w:r>
    </w:p>
    <w:tbl>
      <w:tblPr>
        <w:tblStyle w:val="Table1"/>
        <w:tblW w:w="92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838"/>
        <w:gridCol w:w="2410"/>
        <w:gridCol w:w="1843"/>
        <w:gridCol w:w="3133"/>
        <w:tblGridChange w:id="0">
          <w:tblGrid>
            <w:gridCol w:w="1838"/>
            <w:gridCol w:w="2410"/>
            <w:gridCol w:w="1843"/>
            <w:gridCol w:w="3133"/>
          </w:tblGrid>
        </w:tblGridChange>
      </w:tblGrid>
      <w:tr>
        <w:trPr>
          <w:cantSplit w:val="0"/>
          <w:trHeight w:val="9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Téma 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Digitální a sociální obory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Název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Podpora petice adresované Evropskému parlamentu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Typ zdroje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deded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aktivita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Foto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303021" cy="2076294"/>
                  <wp:effectExtent b="0" l="0" r="0" t="0"/>
                  <wp:docPr descr="PETI - Petitions | ICMs | Relations with National Parliaments | European  Parliament" id="10" name="image10.png"/>
                  <a:graphic>
                    <a:graphicData uri="http://schemas.openxmlformats.org/drawingml/2006/picture">
                      <pic:pic>
                        <pic:nvPicPr>
                          <pic:cNvPr descr="PETI - Petitions | ICMs | Relations with National Parliaments | European  Parliament"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21" cy="20762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center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European Parliament, PETI. 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Doba trvání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30-40 minut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vAlign w:val="center"/>
          </w:tcPr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Vzdělávací výstupy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Rozvoj občanských kompetencí prostřednictvím digitálních a sociálních oborů </w:t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Poznávání petičních práv 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Být aktivním občanem 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pacing w:after="0" w:line="240" w:lineRule="auto"/>
              <w:ind w:left="720" w:hanging="360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Rozvoj digitálních dovedností a dovedností v oblasti sociálních médií.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Cíl aktivity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Cílem této aktivity je rozvíjet vaše občanské dovednosti prostřednictvím tématu Digitální a sociální média.</w:t>
            </w:r>
          </w:p>
        </w:tc>
      </w:tr>
      <w:tr>
        <w:trPr>
          <w:cantSplit w:val="0"/>
          <w:trHeight w:val="134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Materiály potřebné k činnosti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  <w:rtl w:val="0"/>
              </w:rPr>
              <w:t xml:space="preserve">● Počítač nebo mobilní telefon </w:t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  <w:rtl w:val="0"/>
              </w:rPr>
              <w:t xml:space="preserve">● Připojení k internetu </w:t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e101a"/>
                <w:sz w:val="24"/>
                <w:szCs w:val="24"/>
                <w:rtl w:val="0"/>
              </w:rPr>
              <w:t xml:space="preserve">● Zájem o nějakou problematiku (ochrana zvířat, změna klimatu, práva žen...) </w:t>
            </w:r>
          </w:p>
        </w:tc>
      </w:tr>
      <w:tr>
        <w:trPr>
          <w:cantSplit w:val="0"/>
          <w:trHeight w:val="65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</w:pBdr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Instrukce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Kroky: 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1: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Vezměte si notebook nebo mobilní telefon. Přejděte na internet a vyhledejte "Petice Evropskému parlamentu". Internetová stránka je tato: </w:t>
            </w:r>
            <w:hyperlink r:id="rId20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https://www.europarl.europa.eu/petitions/en/home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2: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Abyste mohli podávat a podporovat petice a získávat o nich informace, musíte si na tomto portálu vytvořit uživatelský účet.</w:t>
            </w:r>
          </w:p>
          <w:p w:rsidR="00000000" w:rsidDel="00000000" w:rsidP="00000000" w:rsidRDefault="00000000" w:rsidRPr="00000000" w14:paraId="00000071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3: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Petici, kterou chcete podpořit, vyhledejte buď pomocí formuláře "Najít petici", nebo pomocí panelu rychlého vyhledávání, který se nachází v záhlaví portálu. Můžete kliknout přímo na tento odkaz: </w:t>
            </w:r>
            <w:hyperlink r:id="rId21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https://www.europarl.europa.eu/petitions/en/show-petitions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4: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Vyhledejte relevantní klíčové slovo. Chcete-li například podpořit ochranu zvířat, vyhledejte heslo "ochrana zvířat".</w:t>
            </w: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5: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Pokud s peticí souhlasíte, můžete ji podpořit kliknutím na "podpořit petici" ve spodní části stránky.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6: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Podporu petice můžete kdykoli odvolat, dokud je otevřená. Pokud tak učiníte, nebudete moci stejnou petici podpořit znovu</w:t>
            </w: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79">
            <w:pPr>
              <w:spacing w:after="0" w:line="276" w:lineRule="auto"/>
              <w:jc w:val="both"/>
              <w:rPr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76" w:lineRule="auto"/>
              <w:jc w:val="both"/>
              <w:rPr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e101a"/>
                <w:sz w:val="24"/>
                <w:szCs w:val="24"/>
                <w:rtl w:val="0"/>
              </w:rPr>
              <w:t xml:space="preserve">Krok 7: </w:t>
            </w:r>
            <w:r w:rsidDel="00000000" w:rsidR="00000000" w:rsidRPr="00000000">
              <w:rPr>
                <w:color w:val="0e101a"/>
                <w:sz w:val="24"/>
                <w:szCs w:val="24"/>
                <w:rtl w:val="0"/>
              </w:rPr>
              <w:t xml:space="preserve">Nyní se můžete považovat za aktivního občana, který investuje do své komunity tím, že podporuje petice, které jsou blízké vašemu srdci a přesvědčení.</w:t>
            </w:r>
          </w:p>
        </w:tc>
      </w:tr>
    </w:tbl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Další četba nebo studijní materiál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Blahopřejeme vám, že jste dosáhli tohoto bodu a dokončili aktivity týkající se sebereflexe v oblasti digitálních a sociálních disciplín. Co bude následovat? Pokud se chcete dozvědět více o tématech, která jste dosud v této lekci probírali, připravili jsme pro vás následující doplňkovou četbu. V této části jsou uvedeny odkazy na další materiály a videa, které jsme našli na internetu a které vám podle našeho názoru pomohou udělat další krok v rozvíjení vašich znalostí.</w:t>
      </w:r>
    </w:p>
    <w:tbl>
      <w:tblPr>
        <w:tblStyle w:val="Table2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54"/>
        <w:gridCol w:w="7418"/>
        <w:tblGridChange w:id="0">
          <w:tblGrid>
            <w:gridCol w:w="1654"/>
            <w:gridCol w:w="7418"/>
          </w:tblGrid>
        </w:tblGridChange>
      </w:tblGrid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bookmarkStart w:colFirst="0" w:colLast="0" w:name="_1t3h5sf" w:id="7"/>
            <w:bookmarkEnd w:id="7"/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Sjednocení občané Evropy Podcast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3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84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Evropa podporující začlenění : různé příběhy na různá témata</w:t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5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doplňkový materiál je kompilací podcastů o Evropě a evropských občanech. Tento zvukový záznam se snaží lidi sbližovat. Tento materiál hovoří o evropských občanech, jejich příbězích, úspěších, evropských nevládních organizacích, které pomáhají zlepšovat Evropu.</w:t>
            </w:r>
          </w:p>
        </w:tc>
      </w:tr>
      <w:tr>
        <w:trPr>
          <w:cantSplit w:val="0"/>
          <w:trHeight w:val="124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87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  <w:p w:rsidR="00000000" w:rsidDel="00000000" w:rsidP="00000000" w:rsidRDefault="00000000" w:rsidRPr="00000000" w14:paraId="0000008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Pomocí tohoto zdroje se naučíte mnoho o následujícím:</w:t>
            </w:r>
          </w:p>
          <w:p w:rsidR="00000000" w:rsidDel="00000000" w:rsidP="00000000" w:rsidRDefault="00000000" w:rsidRPr="00000000" w14:paraId="0000008A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Mnoho různých příběhů o evropském občanovi </w:t>
            </w:r>
          </w:p>
          <w:p w:rsidR="00000000" w:rsidDel="00000000" w:rsidP="00000000" w:rsidRDefault="00000000" w:rsidRPr="00000000" w14:paraId="0000008B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Politiku v Evropě a v členských státech </w:t>
            </w:r>
          </w:p>
          <w:p w:rsidR="00000000" w:rsidDel="00000000" w:rsidP="00000000" w:rsidRDefault="00000000" w:rsidRPr="00000000" w14:paraId="0000008C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Efektivní aktivismus, který vychází ze sociálních médií </w:t>
            </w:r>
          </w:p>
          <w:p w:rsidR="00000000" w:rsidDel="00000000" w:rsidP="00000000" w:rsidRDefault="00000000" w:rsidRPr="00000000" w14:paraId="0000008D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Různé sociální problémy v Evropě </w:t>
            </w:r>
          </w:p>
          <w:p w:rsidR="00000000" w:rsidDel="00000000" w:rsidP="00000000" w:rsidRDefault="00000000" w:rsidRPr="00000000" w14:paraId="0000008E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Rozhodovací proces v EU. 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Občanství EU a pocit být Evropanem</w:t>
            </w:r>
          </w:p>
        </w:tc>
      </w:tr>
      <w:tr>
        <w:trPr>
          <w:cantSplit w:val="0"/>
          <w:trHeight w:val="55" w:hRule="atLeast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0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22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https://open.spotify.com/show/4YMl3VZsXHAtAZixlJZdpf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72.0" w:type="dxa"/>
        <w:jc w:val="left"/>
        <w:tblInd w:w="-1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85"/>
        <w:gridCol w:w="7087"/>
        <w:tblGridChange w:id="0">
          <w:tblGrid>
            <w:gridCol w:w="1985"/>
            <w:gridCol w:w="7087"/>
          </w:tblGrid>
        </w:tblGridChange>
      </w:tblGrid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4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Název zdroje:</w:t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My, lidé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6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Téma:</w:t>
            </w:r>
          </w:p>
        </w:tc>
        <w:tc>
          <w:tcPr/>
          <w:p w:rsidR="00000000" w:rsidDel="00000000" w:rsidP="00000000" w:rsidRDefault="00000000" w:rsidRPr="00000000" w14:paraId="00000097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Aktivní občanství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8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Úvod:</w:t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120" w:before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Tento doplňkový materiál představuje dobře vysvětlené video, které se zabývá aktivním občanstvím. Toto video ve formě krátkého filmu skutečně vysílá silné poselství o tom, jak se aktivně zapojit do života společnosti. Mladá žena nachází svůj hlas při budování komunity a uskutečňování změn.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9A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 získáte použitím tohoto zdroje?</w:t>
            </w:r>
          </w:p>
          <w:p w:rsidR="00000000" w:rsidDel="00000000" w:rsidP="00000000" w:rsidRDefault="00000000" w:rsidRPr="00000000" w14:paraId="0000009B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Na tomto odkazu najdete další informace o tom, jak vám digitální disciplíny a sociální média mohou pomoci rozvíjet občanské kompetence.</w:t>
            </w:r>
          </w:p>
          <w:p w:rsidR="00000000" w:rsidDel="00000000" w:rsidP="00000000" w:rsidRDefault="00000000" w:rsidRPr="00000000" w14:paraId="0000009D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Při sledování tohoto videa se dozvíte:</w:t>
            </w:r>
          </w:p>
          <w:p w:rsidR="00000000" w:rsidDel="00000000" w:rsidP="00000000" w:rsidRDefault="00000000" w:rsidRPr="00000000" w14:paraId="0000009E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Jak být aktivním občanem a jak se můžete zapojit do každodenního života své komunity. </w:t>
            </w:r>
          </w:p>
          <w:p w:rsidR="00000000" w:rsidDel="00000000" w:rsidP="00000000" w:rsidRDefault="00000000" w:rsidRPr="00000000" w14:paraId="0000009F">
            <w:pPr>
              <w:spacing w:after="120" w:before="120" w:line="276" w:lineRule="auto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● Co je to aktivní občanství </w:t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jc w:val="both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● Jak vám mohou sociální média a obecněji digitální technologie pomoci stát se aktivním občanem</w:t>
            </w:r>
          </w:p>
        </w:tc>
      </w:tr>
      <w:tr>
        <w:trPr>
          <w:cantSplit w:val="0"/>
          <w:tblHeader w:val="0"/>
        </w:trPr>
        <w:tc>
          <w:tcPr>
            <w:shd w:fill="ed7d31" w:val="clear"/>
          </w:tcPr>
          <w:p w:rsidR="00000000" w:rsidDel="00000000" w:rsidP="00000000" w:rsidRDefault="00000000" w:rsidRPr="00000000" w14:paraId="000000A1">
            <w:pPr>
              <w:spacing w:after="120" w:before="120" w:line="276" w:lineRule="auto"/>
              <w:jc w:val="center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Odkaz:</w:t>
            </w:r>
          </w:p>
        </w:tc>
        <w:tc>
          <w:tcPr/>
          <w:p w:rsidR="00000000" w:rsidDel="00000000" w:rsidP="00000000" w:rsidRDefault="00000000" w:rsidRPr="00000000" w14:paraId="000000A2">
            <w:pPr>
              <w:spacing w:after="120" w:before="120" w:line="276" w:lineRule="auto"/>
              <w:jc w:val="both"/>
              <w:rPr>
                <w:color w:val="000000"/>
              </w:rPr>
            </w:pPr>
            <w:hyperlink r:id="rId2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https://www.youtube.com/watch?v=C3IRW4zH18A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120" w:before="120" w:line="276" w:lineRule="auto"/>
              <w:jc w:val="both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/>
      </w:pPr>
      <w:bookmarkStart w:colFirst="0" w:colLast="0" w:name="_2s8eyo1" w:id="9"/>
      <w:bookmarkEnd w:id="9"/>
      <w:r w:rsidDel="00000000" w:rsidR="00000000" w:rsidRPr="00000000">
        <w:rPr>
          <w:rFonts w:ascii="Source Sans Pro" w:cs="Source Sans Pro" w:eastAsia="Source Sans Pro" w:hAnsi="Source Sans Pro"/>
          <w:color w:val="000000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-914398</wp:posOffset>
            </wp:positionH>
            <wp:positionV relativeFrom="margin">
              <wp:posOffset>-931543</wp:posOffset>
            </wp:positionV>
            <wp:extent cx="7625715" cy="10765155"/>
            <wp:effectExtent b="0" l="0" r="0" t="0"/>
            <wp:wrapSquare wrapText="bothSides" distB="0" distT="0" distL="114300" distR="114300"/>
            <wp:docPr descr="Timeline&#10;&#10;Description automatically generated" id="6" name="image3.png"/>
            <a:graphic>
              <a:graphicData uri="http://schemas.openxmlformats.org/drawingml/2006/picture">
                <pic:pic>
                  <pic:nvPicPr>
                    <pic:cNvPr descr="Timeline&#10;&#10;Description automatically generated"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25" w:type="first"/>
      <w:footerReference r:id="rId26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Bebas Neue">
    <w:embedRegular w:fontKey="{00000000-0000-0000-0000-000000000000}" r:id="rId1" w:subsetted="0"/>
  </w:font>
  <w:font w:name="Noto Sans Symbols">
    <w:embedRegular w:fontKey="{00000000-0000-0000-0000-000000000000}" r:id="rId2" w:subsetted="0"/>
    <w:embedBold w:fontKey="{00000000-0000-0000-0000-000000000000}" r:id="rId3" w:subsetted="0"/>
  </w:font>
  <w:font w:name="Source Sans Pro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cap="flat" cmpd="sng" w="1905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35471" cy="925204"/>
              <wp:effectExtent b="0" l="0" r="0" t="0"/>
              <wp:wrapNone/>
              <wp:docPr id="1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35471" cy="9252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b="0" l="0" r="0" t="0"/>
          <wp:wrapSquare wrapText="bothSides" distB="0" distT="0" distL="114300" distR="114300"/>
          <wp:docPr id="8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874632" cy="618328"/>
          <wp:effectExtent b="0" l="0" r="0" t="0"/>
          <wp:docPr descr="A picture containing icon&#10;&#10;Description automatically generated" id="12" name="image7.png"/>
          <a:graphic>
            <a:graphicData uri="http://schemas.openxmlformats.org/drawingml/2006/picture">
              <pic:pic>
                <pic:nvPicPr>
                  <pic:cNvPr descr="A picture containing icon&#10;&#10;Description automatically generated" id="0" name="image7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I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europarl.europa.eu/petitions/en/home" TargetMode="External"/><Relationship Id="rId22" Type="http://schemas.openxmlformats.org/officeDocument/2006/relationships/hyperlink" Target="https://open.spotify.com/show/4YMl3VZsXHAtAZixlJZdpf" TargetMode="External"/><Relationship Id="rId21" Type="http://schemas.openxmlformats.org/officeDocument/2006/relationships/hyperlink" Target="https://www.europarl.europa.eu/petitions/en/show-petitions" TargetMode="External"/><Relationship Id="rId24" Type="http://schemas.openxmlformats.org/officeDocument/2006/relationships/image" Target="media/image3.png"/><Relationship Id="rId23" Type="http://schemas.openxmlformats.org/officeDocument/2006/relationships/hyperlink" Target="https://www.youtube.com/watch?v=C3IRW4zH18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footer" Target="footer3.xml"/><Relationship Id="rId25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11" Type="http://schemas.openxmlformats.org/officeDocument/2006/relationships/image" Target="media/image14.png"/><Relationship Id="rId10" Type="http://schemas.openxmlformats.org/officeDocument/2006/relationships/image" Target="media/image2.png"/><Relationship Id="rId13" Type="http://schemas.openxmlformats.org/officeDocument/2006/relationships/image" Target="media/image8.jpg"/><Relationship Id="rId12" Type="http://schemas.openxmlformats.org/officeDocument/2006/relationships/image" Target="media/image11.jpg"/><Relationship Id="rId15" Type="http://schemas.openxmlformats.org/officeDocument/2006/relationships/image" Target="media/image4.jpg"/><Relationship Id="rId14" Type="http://schemas.openxmlformats.org/officeDocument/2006/relationships/image" Target="media/image9.jpg"/><Relationship Id="rId17" Type="http://schemas.openxmlformats.org/officeDocument/2006/relationships/image" Target="media/image5.jpg"/><Relationship Id="rId16" Type="http://schemas.openxmlformats.org/officeDocument/2006/relationships/image" Target="media/image12.jpg"/><Relationship Id="rId19" Type="http://schemas.openxmlformats.org/officeDocument/2006/relationships/image" Target="media/image10.png"/><Relationship Id="rId1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ebasNeue-regular.ttf"/><Relationship Id="rId2" Type="http://schemas.openxmlformats.org/officeDocument/2006/relationships/font" Target="fonts/NotoSansSymbols-regular.ttf"/><Relationship Id="rId3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