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4860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2541750"/>
                          <a:ext cx="402590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Osobní, sociální a L2L kompetence &amp; umění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48602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2486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videozáznam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realizaci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edstavenému tématu.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nabídne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odreagování,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5">
      <w:pPr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m Osobní, sociální a L2L kompetence a 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lecké obory.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do tématu</w:t>
      </w:r>
    </w:p>
    <w:p w:rsidR="00000000" w:rsidDel="00000000" w:rsidP="00000000" w:rsidRDefault="00000000" w:rsidRPr="00000000" w14:paraId="0000000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lecké disciplíny jsou skv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lým zp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sobem, jak se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 a rozvíjet osobní, sociální a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ební kompetence, kterým se také 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íká metakognice.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je totiž neuv</w:t>
      </w:r>
      <w:r w:rsidDel="00000000" w:rsidR="00000000" w:rsidRPr="00000000">
        <w:rPr>
          <w:sz w:val="24"/>
          <w:szCs w:val="24"/>
          <w:rtl w:val="0"/>
        </w:rPr>
        <w:t xml:space="preserve">ěř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itelným nástrojem pro demonstraci kognitivních strategií, které pomáhají žák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prozkoumat nový obsah a prokázat, zda skute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rozumí tomu, co se snaží nau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it. Dovednosti myšlení jsou pro všechny žáky zásadní a jak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lecká tvorba, tak setkávání s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ním poskytují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íležitosti ke komplexnímu myšlení.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zdroj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ONE STEP UP mohou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prozkoumat, jak mohou tyto výukové materiály pozitivn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ovlivnit jejich schopnost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 se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ní.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íru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ce pro žáky mají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možnost seznámit se s iniciativou Guggenheimova muzea a 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sta New York nazvanou "U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ní". Tento program dává student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nástroje, které rozvíjejí jejich schopnosti 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ešit problémy a kriticky myslet.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student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umožnit, aby sami objevovali 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ci a sami se nau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ili, jaké je nejlepší 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ešení.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Žáci mají navíc možnost zapojit se do zajímavé aktivity " Drawing &amp; Reflecting" (Kreslení 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emýšlení). Tato aktivita umož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uje žák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rozvíjet jejich time management, sebev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 a pracovní metody.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tvorby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leckého díla mají totiž žáci možnost provést hodnocení tím, že si položí otázky o svém zp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sobu práce a poznají svá pozitiva a negativa v použité strategii.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Používání tohoto zdroje ve skupin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tím, že jim pustíte videozáznam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edstavíte jim téma Osobní, sociální a L2L kompetence a 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studujícím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 tématu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pro studující v manuálu.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další aktivitou.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výukový list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3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odreagování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Zde je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kolik možných otázek, nad kterými by se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astníci mohli zamyslet po dokon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Co vás na iniciativ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"U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ní" nejvíce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ekvapilo?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Kdybyste 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li možnost, cht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li byste se podobné akce zú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astnit?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V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em tento projekt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esahoval rámec pouhé výuky kompetencí L2L?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Jaké byly vaše zkušenosti b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hem aktivity " Drawing &amp; Reflecting" (Kreslení 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emýšlení)?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lze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lecké disciplíny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lenit do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lávacích nebo školicích program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pro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lé s nízkou kvalifikací, aby se zlepšila jejich osobní, sociální a L2L kompetence?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