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&lt;Obszar kompetencji i temat przekrojowy&gt;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Kompetencje osobiste, społeczne i L2L za pośrednictwem mediów cyfrowych i społecznościowych.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B">
      <w:pPr>
        <w:rPr>
          <w:rFonts w:ascii="Quattrocento Sans" w:hAnsi="Quattrocento Sans" w:eastAsia="Quattrocento Sans" w:cs="Quattrocento Sans"/>
          <w:sz w:val="24"/>
          <w:szCs w:val="24"/>
          <w:highlight w:val="yellow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erze cyfrowej wykorzystanie mocy platform internetowych do rozwoju kompetencji osobistych, społecznych i umiejętności uczenia się (L2L) oferuje transformacyjne możliwości, szczególnie dla dorosłych o niskich kwalifikacjach. Wykorzystując zasoby mediów cyfrowych i społecznościowych, osoby mogą uzyskać dostęp do szerokiej gamy treści edukacyjnych, interaktywnych narzędzi i wirtualnych społeczności w celu poprawy inteligencji emocjonalnej, komunikacji i zdolności adaptacyjnych. W przypadku dorosłych o niskich kwalifikacjach, którzy napotykają bariery w tradycyjnych ścieżkach uczenia się, takie samodzielne podejście sprzyja wzmocnieniu pozycji, zwiększeniu pewności siebie i pielęgnowaniu podstawowych umiejętności niezbędnych do awansu zawodowego i rozwoju osobistego. </w:t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ze studium przypadku holistycznego psychologa, uczniowie zapoznają się z treściami mikrolearningowymi, np. treściami o niewielkich rozmiarach, które dostarczają złożonych tematów psychologicznych w bardzo prosty i skuteczny sposób. Jest to przykład dobrej praktyki, ponieważ angażowanie się w treści Nicole LePera może być cenną samodzielną aktywnością dla dorosłych poszukujących rozwoju osobistego i wglądu w zdrowie psychiczne. Uczniowie mają również szansę wypróbować "Poprawa cyfrowego zarządzania czasem" w celu umożliwienia im poprawy umiejętności zarządzania czasem za pomocą zasobów internetowych i narzędzi cyfrowych. Zademonstruje to, w jaki sposób ćwiczenie jednego z aspektów kompetencji osobistych, społecznych i uczenia się, takich jak umiejętności zarządzania czasem, może być przydatne i przyjemne w połączeniu z pracą nad własnymi umiejętnościami cyfrowymi.</w:t>
      </w:r>
    </w:p>
    <w:p w:rsidRPr="00000000" w:rsidR="00000000" w:rsidDel="00000000" w:rsidP="00000000" w:rsidRDefault="00000000" w14:paraId="00000011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kompetencji osobistych, społecznych i uczenia się poprzez media cyfrowe i społecznościowe.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5">
      <w:pPr>
        <w:rPr/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co jest kluczem do sukcesu pracy psychologów holistycznych?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Jaki jest jeden kluczowy wniosek, który wyniesiesz z tego studium przypadku i ćwiczenia? Jak zastosujesz je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oceniasz "Poprawa cyfrowego zarządzania czasem"? Czy okazała się pomocna w doskonaleniu umiejętności interpersonalnych?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w jaki sposób można wykorzystać media cyfrowe i społecznościowe do poprawy swoich kompetencji osobistych, społecznych i umiejętności uczenia się?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D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C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3GeIHu2/QWG+XHC/WZq+h7S7A==">CgMxLjA4AHIhMVNpVEpPVWx3bVAwRnZ2clJ1cjNGLTJTdExzQ3BkVjJU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docId:F6A5373537995E95EA99A47D0C6819CF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