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3B8D" w14:textId="35F1F620" w:rsidR="00217F3D" w:rsidRDefault="0016173C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303A592" wp14:editId="1DF3B03A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00325"/>
                <wp:effectExtent l="0" t="0" r="0" b="0"/>
                <wp:wrapSquare wrapText="bothSides" distT="45720" distB="45720" distL="114300" distR="11430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2484600"/>
                          <a:ext cx="40259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2F23D" w14:textId="77777777" w:rsidR="00217F3D" w:rsidRPr="003016A8" w:rsidRDefault="0016173C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3016A8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Multilinguismo digital e social</w:t>
                            </w:r>
                          </w:p>
                          <w:p w14:paraId="13F3F5F0" w14:textId="77777777" w:rsidR="00217F3D" w:rsidRPr="003016A8" w:rsidRDefault="0016173C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3016A8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 xml:space="preserve">Manual do educador de adultos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3A592" id="Retângulo 8" o:spid="_x0000_s1026" style="position:absolute;margin-left:151pt;margin-top:125.6pt;width:317.75pt;height:20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" filled="f" stroked="f">
                <v:textbox inset="2.53958mm,1.2694mm,2.53958mm,1.2694mm">
                  <w:txbxContent>
                    <w:p w14:paraId="6962F23D" w14:textId="77777777" w:rsidR="00217F3D" w:rsidRPr="003016A8" w:rsidRDefault="0016173C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3016A8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Multilinguismo digital e social</w:t>
                      </w:r>
                    </w:p>
                    <w:p w14:paraId="13F3F5F0" w14:textId="77777777" w:rsidR="00217F3D" w:rsidRPr="003016A8" w:rsidRDefault="0016173C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3016A8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 xml:space="preserve">Manual do educador de adultos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CF82DD" w14:textId="77777777" w:rsidR="00217F3D" w:rsidRDefault="0016173C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28BC60E9" wp14:editId="5DDE9B3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DC2EAE" w14:textId="08C4846B" w:rsidR="00217F3D" w:rsidRPr="003016A8" w:rsidRDefault="0016173C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3016A8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51F78D3F" w14:textId="77777777" w:rsidR="00217F3D" w:rsidRPr="003016A8" w:rsidRDefault="0016173C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3016A8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20F28108" w14:textId="77777777" w:rsidR="00217F3D" w:rsidRPr="003016A8" w:rsidRDefault="0016173C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080E190F" w14:textId="77777777" w:rsidR="003016A8" w:rsidRPr="00852DA8" w:rsidRDefault="003016A8" w:rsidP="003016A8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visa desenvolver ainda mais a sua compreensão do tópico descrito no vídeo. Finalmente, este manual irá também apresentar-lhe algumas 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pode utilizar no seu grupo de aprendentes adultos, para avaliar a facilidade de utilização e a qualidade da atividade que concluiu com eles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</w:t>
      </w:r>
    </w:p>
    <w:p w14:paraId="275D67DA" w14:textId="77777777" w:rsidR="00217F3D" w:rsidRPr="003016A8" w:rsidRDefault="00217F3D">
      <w:pP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4565D6EF" w14:textId="05774C85" w:rsidR="00217F3D" w:rsidRPr="003016A8" w:rsidRDefault="0016173C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o vídeo </w:t>
      </w:r>
      <w:r w:rsidRPr="003016A8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Competência Multilingue e Tema Digital e Social.</w:t>
      </w:r>
    </w:p>
    <w:p w14:paraId="0AA71792" w14:textId="77777777" w:rsidR="00217F3D" w:rsidRPr="003016A8" w:rsidRDefault="00217F3D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47400000" w14:textId="77777777" w:rsidR="00217F3D" w:rsidRPr="003016A8" w:rsidRDefault="0016173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7D4CD02B" w14:textId="77777777" w:rsidR="00217F3D" w:rsidRPr="003016A8" w:rsidRDefault="00217F3D">
      <w:pPr>
        <w:rPr>
          <w:lang w:val="pt-PT"/>
        </w:rPr>
      </w:pPr>
    </w:p>
    <w:p w14:paraId="1CECF5DD" w14:textId="7EFAFFBA" w:rsidR="00217F3D" w:rsidRPr="003016A8" w:rsidRDefault="003016A8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>Neste recurso, iremos explorar o intrigante domínio dos Média Digitais e da Comunicação Intercultural. Os nossos participantes receberão conhecimentos práticos sobre a natureza global dos media digitais e o seu impacto na sociedade enquanto aprendentes adultos. Veremos como a comunicação multilingue e o transnacionalismo influenciam os hábitos e as convenções dos media digitais. Além disso, o vídeo dotará os alunos da capacidade de produzir, organizar e divulgar material multimédia, promovendo a comunicação e a compreensão globais. No final deste recurso, os seus alunos valorizarão a inclusão e a diversidade, compreendendo o valor do contacto com outras perspetivas e grupos através dos canais dos meios de comunicação digitais.</w:t>
      </w:r>
    </w:p>
    <w:p w14:paraId="49A0EA83" w14:textId="77777777" w:rsidR="00217F3D" w:rsidRPr="003016A8" w:rsidRDefault="00217F3D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3D518B84" w14:textId="77777777" w:rsidR="00217F3D" w:rsidRPr="003016A8" w:rsidRDefault="0016173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Introdução à Atividade </w:t>
      </w:r>
    </w:p>
    <w:p w14:paraId="7C621E51" w14:textId="77777777" w:rsidR="00217F3D" w:rsidRPr="003016A8" w:rsidRDefault="00217F3D">
      <w:pPr>
        <w:rPr>
          <w:lang w:val="pt-PT"/>
        </w:rPr>
      </w:pPr>
    </w:p>
    <w:p w14:paraId="5B3201AF" w14:textId="49FFFAEE" w:rsidR="00217F3D" w:rsidRPr="003016A8" w:rsidRDefault="0016173C">
      <w:pPr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atividade de acompanhamento consiste num estudo de caso baseado num cenário da vida real em que os alunos utilizam os seus conhecimentos sobre meios digitais e comunicação intercultural. Desenvolverão material </w:t>
      </w:r>
      <w:r w:rsid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de </w:t>
      </w: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>multimédia que promova a inclusão e estabeleça pontes entre culturas utilizando ferramentas e técnicas de meios digitais. Esta tarefa permitirá que os alunos coloquem em prática os princípios abordados no vídeo, desenvolvendo o pensamento crítico.</w:t>
      </w:r>
    </w:p>
    <w:p w14:paraId="287784F2" w14:textId="77777777" w:rsidR="00217F3D" w:rsidRPr="003016A8" w:rsidRDefault="00217F3D">
      <w:pPr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0C3400BF" w14:textId="77777777" w:rsidR="00217F3D" w:rsidRPr="003016A8" w:rsidRDefault="0016173C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Usando este recurso com um grupo </w:t>
      </w:r>
    </w:p>
    <w:p w14:paraId="420D6824" w14:textId="646F3D61" w:rsidR="00217F3D" w:rsidRPr="003016A8" w:rsidRDefault="0016173C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mostrar-lhes o vídeo para introduzir o tema dos </w:t>
      </w:r>
      <w:r w:rsidRPr="003016A8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Media Digitais e da competência multilingue.  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Este vídeo ajudará os alunos a compreender o tópico antes de começarem a atividade </w:t>
      </w:r>
      <w:r w:rsid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 Ficha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1761153B" w14:textId="1A929DEA" w:rsidR="00217F3D" w:rsidRDefault="0016173C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02783E59" w14:textId="77777777" w:rsidR="00217F3D" w:rsidRDefault="00217F3D"/>
    <w:p w14:paraId="59FC7B80" w14:textId="77777777" w:rsidR="00217F3D" w:rsidRPr="003016A8" w:rsidRDefault="00161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papel acredita que os meios digitais podem desempenhar na promoção da compreensão intercultural e da inclusão?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br/>
      </w:r>
    </w:p>
    <w:p w14:paraId="461ACCEC" w14:textId="77777777" w:rsidR="00217F3D" w:rsidRPr="003016A8" w:rsidRDefault="00161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dificuldades encontrou ao trabalhar na atividade de desenvolvimento de conteúdos multimédia e como as superou?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br/>
      </w:r>
    </w:p>
    <w:p w14:paraId="0D34480A" w14:textId="77777777" w:rsidR="00217F3D" w:rsidRPr="003016A8" w:rsidRDefault="00161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impacto teve esta experiência de aprendizagem na sua compreensão da natureza global dos meios digitais e da importância da comunicação intercultural?</w:t>
      </w: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br/>
      </w:r>
    </w:p>
    <w:p w14:paraId="29BC53FE" w14:textId="77777777" w:rsidR="00217F3D" w:rsidRPr="003016A8" w:rsidRDefault="00161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Como pode implementar o que aprendeu com este recurso na sua vida pessoal ou profissional?</w:t>
      </w:r>
    </w:p>
    <w:p w14:paraId="38EEFF21" w14:textId="4201466D" w:rsidR="00217F3D" w:rsidRPr="003016A8" w:rsidRDefault="0016173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Por favor, forneça um exemplo de como a adoção da diversidade nas técnicas de </w:t>
      </w:r>
      <w:r w:rsid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comunicação </w:t>
      </w: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>digital pode resultar em impacto social benéfico.</w:t>
      </w:r>
    </w:p>
    <w:p w14:paraId="43BE763F" w14:textId="36CF0AF1" w:rsidR="00217F3D" w:rsidRPr="003016A8" w:rsidRDefault="0016173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Você capacitará alunos adultos pouco qualificados a atravessar o cenário digital com confiança, usando este manual do educador e os materiais de vídeo que o acompanham, promovendo a compreensão e a inclusão </w:t>
      </w:r>
      <w:r w:rsid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>nas</w:t>
      </w:r>
      <w:r w:rsidRPr="003016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suas interações e contribuindo para um mundo mais conectado.</w:t>
      </w:r>
    </w:p>
    <w:p w14:paraId="7CCB1FE1" w14:textId="77777777" w:rsidR="00217F3D" w:rsidRPr="003016A8" w:rsidRDefault="00217F3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17930881" w14:textId="77777777" w:rsidR="00217F3D" w:rsidRPr="003016A8" w:rsidRDefault="0016173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3016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Fontes:</w:t>
      </w:r>
    </w:p>
    <w:p w14:paraId="7EBA09D0" w14:textId="77777777" w:rsidR="00217F3D" w:rsidRPr="003016A8" w:rsidRDefault="0016173C">
      <w:pPr>
        <w:rPr>
          <w:sz w:val="24"/>
          <w:szCs w:val="24"/>
          <w:lang w:val="pt-PT"/>
        </w:rPr>
      </w:pPr>
      <w:r w:rsidRPr="003016A8">
        <w:rPr>
          <w:sz w:val="24"/>
          <w:szCs w:val="24"/>
          <w:lang w:val="pt-PT"/>
        </w:rPr>
        <w:lastRenderedPageBreak/>
        <w:t>Integração de Fatores Sociais na Educação Médica Transcultural</w:t>
      </w:r>
    </w:p>
    <w:p w14:paraId="42175F4F" w14:textId="77777777" w:rsidR="00217F3D" w:rsidRPr="003016A8" w:rsidRDefault="00000000">
      <w:pPr>
        <w:rPr>
          <w:lang w:val="pt-PT"/>
        </w:rPr>
      </w:pPr>
      <w:hyperlink r:id="rId9">
        <w:r w:rsidR="0016173C" w:rsidRPr="003016A8">
          <w:rPr>
            <w:color w:val="0563C1"/>
            <w:u w:val="single"/>
            <w:lang w:val="pt-PT"/>
          </w:rPr>
          <w:t>https://journals.lww.com/academicmedicine/Fulltext/2002/03000/Integrating_Social_Factors_into_Cross_cultural.3.aspx</w:t>
        </w:r>
      </w:hyperlink>
      <w:r w:rsidR="0016173C" w:rsidRPr="003016A8">
        <w:rPr>
          <w:lang w:val="pt-PT"/>
        </w:rPr>
        <w:t xml:space="preserve"> </w:t>
      </w:r>
    </w:p>
    <w:p w14:paraId="15B01F29" w14:textId="77777777" w:rsidR="00217F3D" w:rsidRPr="003016A8" w:rsidRDefault="0016173C">
      <w:pPr>
        <w:rPr>
          <w:lang w:val="pt-PT"/>
        </w:rPr>
      </w:pPr>
      <w:r w:rsidRPr="003016A8">
        <w:rPr>
          <w:lang w:val="pt-PT"/>
        </w:rPr>
        <w:t xml:space="preserve">Verde, Dr. </w:t>
      </w:r>
      <w:proofErr w:type="spellStart"/>
      <w:r w:rsidRPr="003016A8">
        <w:rPr>
          <w:lang w:val="pt-PT"/>
        </w:rPr>
        <w:t>Alexander</w:t>
      </w:r>
      <w:proofErr w:type="spellEnd"/>
      <w:r w:rsidRPr="003016A8">
        <w:rPr>
          <w:lang w:val="pt-PT"/>
        </w:rPr>
        <w:t xml:space="preserve"> R.; Betancourt, José R. MD, </w:t>
      </w:r>
      <w:proofErr w:type="spellStart"/>
      <w:r w:rsidRPr="003016A8">
        <w:rPr>
          <w:lang w:val="pt-PT"/>
        </w:rPr>
        <w:t>MPH</w:t>
      </w:r>
      <w:proofErr w:type="spellEnd"/>
      <w:r w:rsidRPr="003016A8">
        <w:rPr>
          <w:lang w:val="pt-PT"/>
        </w:rPr>
        <w:t xml:space="preserve">; Dr. </w:t>
      </w:r>
      <w:proofErr w:type="spellStart"/>
      <w:r w:rsidRPr="003016A8">
        <w:rPr>
          <w:lang w:val="pt-PT"/>
        </w:rPr>
        <w:t>Carrillo</w:t>
      </w:r>
      <w:proofErr w:type="spellEnd"/>
      <w:r w:rsidRPr="003016A8">
        <w:rPr>
          <w:lang w:val="pt-PT"/>
        </w:rPr>
        <w:t xml:space="preserve">, J. Emílio, </w:t>
      </w:r>
      <w:proofErr w:type="spellStart"/>
      <w:r w:rsidRPr="003016A8">
        <w:rPr>
          <w:lang w:val="pt-PT"/>
        </w:rPr>
        <w:t>MPH</w:t>
      </w:r>
      <w:proofErr w:type="spellEnd"/>
    </w:p>
    <w:p w14:paraId="20A829FC" w14:textId="77777777" w:rsidR="00217F3D" w:rsidRPr="003016A8" w:rsidRDefault="0016173C">
      <w:pPr>
        <w:rPr>
          <w:lang w:val="pt-PT"/>
        </w:rPr>
      </w:pPr>
      <w:r w:rsidRPr="003016A8">
        <w:rPr>
          <w:lang w:val="pt-PT"/>
        </w:rPr>
        <w:t>Medicina Académica 77(3</w:t>
      </w:r>
      <w:proofErr w:type="gramStart"/>
      <w:r w:rsidRPr="003016A8">
        <w:rPr>
          <w:lang w:val="pt-PT"/>
        </w:rPr>
        <w:t>):p</w:t>
      </w:r>
      <w:proofErr w:type="gramEnd"/>
      <w:r w:rsidRPr="003016A8">
        <w:rPr>
          <w:lang w:val="pt-PT"/>
        </w:rPr>
        <w:t xml:space="preserve"> 193-197, março de 2002.</w:t>
      </w:r>
    </w:p>
    <w:p w14:paraId="6E5F63F6" w14:textId="77777777" w:rsidR="00217F3D" w:rsidRPr="003016A8" w:rsidRDefault="00217F3D">
      <w:pPr>
        <w:rPr>
          <w:lang w:val="pt-PT"/>
        </w:rPr>
      </w:pPr>
    </w:p>
    <w:p w14:paraId="5C8AD624" w14:textId="17B197D3" w:rsidR="00217F3D" w:rsidRPr="003016A8" w:rsidRDefault="0016173C">
      <w:pPr>
        <w:rPr>
          <w:lang w:val="pt-PT"/>
        </w:rPr>
      </w:pPr>
      <w:r w:rsidRPr="003016A8">
        <w:rPr>
          <w:sz w:val="24"/>
          <w:szCs w:val="24"/>
          <w:lang w:val="pt-PT"/>
        </w:rPr>
        <w:t xml:space="preserve">Antologia de Investigação sobre Educação de Adultos e o Desenvolvimento de </w:t>
      </w:r>
      <w:r w:rsidR="003016A8">
        <w:rPr>
          <w:sz w:val="24"/>
          <w:szCs w:val="24"/>
          <w:lang w:val="pt-PT"/>
        </w:rPr>
        <w:t>aprendizes</w:t>
      </w:r>
      <w:r w:rsidRPr="003016A8">
        <w:rPr>
          <w:sz w:val="24"/>
          <w:szCs w:val="24"/>
          <w:lang w:val="pt-PT"/>
        </w:rPr>
        <w:t xml:space="preserve"> ao Longo da Vida</w:t>
      </w:r>
    </w:p>
    <w:p w14:paraId="554613FE" w14:textId="77777777" w:rsidR="00217F3D" w:rsidRPr="003016A8" w:rsidRDefault="00000000">
      <w:pPr>
        <w:rPr>
          <w:lang w:val="pt-PT"/>
        </w:rPr>
      </w:pPr>
      <w:hyperlink r:id="rId10">
        <w:r w:rsidR="0016173C" w:rsidRPr="003016A8">
          <w:rPr>
            <w:color w:val="0563C1"/>
            <w:u w:val="single"/>
            <w:lang w:val="pt-PT"/>
          </w:rPr>
          <w:t>https://www.igi-global.com/chapter/adult-learner-characteristics-important-for-successful-learning-in-cross-cultural-web-based-learning-environments-in-higher-education/279739</w:t>
        </w:r>
      </w:hyperlink>
      <w:r w:rsidR="0016173C" w:rsidRPr="003016A8">
        <w:rPr>
          <w:lang w:val="pt-PT"/>
        </w:rPr>
        <w:t xml:space="preserve"> </w:t>
      </w:r>
    </w:p>
    <w:p w14:paraId="7C79ED35" w14:textId="77777777" w:rsidR="00217F3D" w:rsidRPr="003016A8" w:rsidRDefault="0016173C">
      <w:pPr>
        <w:rPr>
          <w:lang w:val="pt-PT"/>
        </w:rPr>
      </w:pPr>
      <w:r w:rsidRPr="003016A8">
        <w:rPr>
          <w:lang w:val="pt-PT"/>
        </w:rPr>
        <w:t xml:space="preserve">Joseph George M. </w:t>
      </w:r>
      <w:proofErr w:type="spellStart"/>
      <w:r w:rsidRPr="003016A8">
        <w:rPr>
          <w:lang w:val="pt-PT"/>
        </w:rPr>
        <w:t>Lutta</w:t>
      </w:r>
      <w:proofErr w:type="spellEnd"/>
      <w:r w:rsidRPr="003016A8">
        <w:rPr>
          <w:lang w:val="pt-PT"/>
        </w:rPr>
        <w:t xml:space="preserve"> Direitos Autorais: © 2021</w:t>
      </w:r>
    </w:p>
    <w:p w14:paraId="6C8E06B5" w14:textId="77777777" w:rsidR="00217F3D" w:rsidRPr="003016A8" w:rsidRDefault="00217F3D">
      <w:pPr>
        <w:rPr>
          <w:lang w:val="pt-PT"/>
        </w:rPr>
      </w:pPr>
    </w:p>
    <w:p w14:paraId="1FA442B8" w14:textId="77777777" w:rsidR="00217F3D" w:rsidRPr="003016A8" w:rsidRDefault="0016173C">
      <w:pPr>
        <w:rPr>
          <w:lang w:val="pt-PT"/>
        </w:rPr>
      </w:pPr>
      <w:r w:rsidRPr="003016A8">
        <w:rPr>
          <w:lang w:val="pt-PT"/>
        </w:rPr>
        <w:t xml:space="preserve">Multilinguismo na Internet </w:t>
      </w:r>
      <w:r w:rsidRPr="003016A8">
        <w:rPr>
          <w:lang w:val="pt-PT"/>
        </w:rPr>
        <w:br/>
      </w:r>
      <w:hyperlink r:id="rId11">
        <w:r w:rsidRPr="003016A8">
          <w:rPr>
            <w:color w:val="0563C1"/>
            <w:u w:val="single"/>
            <w:lang w:val="pt-PT"/>
          </w:rPr>
          <w:t>https://www.academia.edu/download/13686668/Ch_22_-_Leppanen_-_Peuronen__pre-print.pdf</w:t>
        </w:r>
      </w:hyperlink>
      <w:r w:rsidRPr="003016A8">
        <w:rPr>
          <w:lang w:val="pt-PT"/>
        </w:rPr>
        <w:t xml:space="preserve"> </w:t>
      </w:r>
    </w:p>
    <w:p w14:paraId="7BA05525" w14:textId="77777777" w:rsidR="00217F3D" w:rsidRPr="003016A8" w:rsidRDefault="0016173C">
      <w:pPr>
        <w:rPr>
          <w:lang w:val="pt-PT"/>
        </w:rPr>
      </w:pPr>
      <w:r w:rsidRPr="003016A8">
        <w:rPr>
          <w:lang w:val="pt-PT"/>
        </w:rPr>
        <w:t xml:space="preserve">Em Martin-Jones, M., </w:t>
      </w:r>
      <w:proofErr w:type="spellStart"/>
      <w:r w:rsidRPr="003016A8">
        <w:rPr>
          <w:lang w:val="pt-PT"/>
        </w:rPr>
        <w:t>Blackledge</w:t>
      </w:r>
      <w:proofErr w:type="spellEnd"/>
      <w:r w:rsidRPr="003016A8">
        <w:rPr>
          <w:lang w:val="pt-PT"/>
        </w:rPr>
        <w:t xml:space="preserve"> A. e </w:t>
      </w:r>
      <w:proofErr w:type="spellStart"/>
      <w:r w:rsidRPr="003016A8">
        <w:rPr>
          <w:lang w:val="pt-PT"/>
        </w:rPr>
        <w:t>Creese</w:t>
      </w:r>
      <w:proofErr w:type="spellEnd"/>
      <w:r w:rsidRPr="003016A8">
        <w:rPr>
          <w:lang w:val="pt-PT"/>
        </w:rPr>
        <w:t xml:space="preserve"> Angela. (A publicar em 2012). O Manual Routledge do Multilinguismo. Londres e Nova Iorque: Routledge.</w:t>
      </w:r>
    </w:p>
    <w:p w14:paraId="50EF7782" w14:textId="77777777" w:rsidR="00217F3D" w:rsidRPr="003016A8" w:rsidRDefault="00217F3D">
      <w:pPr>
        <w:rPr>
          <w:lang w:val="pt-PT"/>
        </w:rPr>
      </w:pPr>
    </w:p>
    <w:p w14:paraId="0DC894DD" w14:textId="33FE182B" w:rsidR="00217F3D" w:rsidRPr="003016A8" w:rsidRDefault="0016173C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3FF48AC1" wp14:editId="237BF3CB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016A8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217F3D" w:rsidRPr="003016A8">
      <w:headerReference w:type="first" r:id="rId13"/>
      <w:footerReference w:type="first" r:id="rId14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6ACC" w14:textId="77777777" w:rsidR="00D06CF1" w:rsidRDefault="00D06CF1">
      <w:pPr>
        <w:spacing w:after="0" w:line="240" w:lineRule="auto"/>
      </w:pPr>
      <w:r>
        <w:separator/>
      </w:r>
    </w:p>
  </w:endnote>
  <w:endnote w:type="continuationSeparator" w:id="0">
    <w:p w14:paraId="7418B66D" w14:textId="77777777" w:rsidR="00D06CF1" w:rsidRDefault="00D0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748" w14:textId="77777777" w:rsidR="00217F3D" w:rsidRDefault="00217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840C" w14:textId="77777777" w:rsidR="00D06CF1" w:rsidRDefault="00D06CF1">
      <w:pPr>
        <w:spacing w:after="0" w:line="240" w:lineRule="auto"/>
      </w:pPr>
      <w:r>
        <w:separator/>
      </w:r>
    </w:p>
  </w:footnote>
  <w:footnote w:type="continuationSeparator" w:id="0">
    <w:p w14:paraId="331A8422" w14:textId="77777777" w:rsidR="00D06CF1" w:rsidRDefault="00D0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CCD5" w14:textId="77777777" w:rsidR="00217F3D" w:rsidRDefault="00217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A406B"/>
    <w:multiLevelType w:val="multilevel"/>
    <w:tmpl w:val="F4EC8B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0758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D"/>
    <w:rsid w:val="0016173C"/>
    <w:rsid w:val="00217F3D"/>
    <w:rsid w:val="003016A8"/>
    <w:rsid w:val="00D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599A"/>
  <w15:docId w15:val="{7CC9EB61-7372-498F-8BBC-AC36E82F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3A345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A345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3016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download/13686668/Ch_22_-_Leppanen_-_Peuronen__pre-prin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gi-global.com/chapter/adult-learner-characteristics-important-for-successful-learning-in-cross-cultural-web-based-learning-environments-in-higher-education/279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lww.com/academicmedicine/Fulltext/2002/03000/Integrating_Social_Factors_into_Cross_cultural.3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zMkFGCJWbl82gamuZ72JxyDag==">CgMxLjA4AHIhMWplU21leDk0bWV2X0Q5dE82eTV2a1dlZGd0UkhtLTdK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691</Words>
  <Characters>4228</Characters>
  <Application>Microsoft Office Word</Application>
  <DocSecurity>0</DocSecurity>
  <Lines>94</Lines>
  <Paragraphs>28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2023-08-03T09:21:00Z</dcterms:created>
  <dcterms:modified xsi:type="dcterms:W3CDTF">2023-12-05T14:34:00Z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