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tabs>
          <w:tab w:val="left" w:leader="none" w:pos="900"/>
        </w:tabs>
        <w:rPr/>
      </w:pPr>
      <w:r w:rsidRPr="00000000" w:rsidDel="00000000" w:rsidR="00000000">
        <w:rPr>
          <w:rtl w:val="0"/>
        </w:rPr>
      </w:r>
      <w:r w:rsidRPr="00000000" w:rsidDel="00000000" w:rsidR="00000000">
        <mc:AlternateContent>
          <mc:Choice Requires="wpg"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1595120</wp:posOffset>
                </wp:positionV>
                <wp:extent cx="4035425" cy="2600325"/>
                <wp:effectExtent l="0" t="0" r="0" b="0"/>
                <wp:wrapSquare wrapText="bothSides" distT="45720" distB="4572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2484600"/>
                          <a:ext cx="402590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160" w:line="258.0000114440918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Wielojęzyczność cyfrowa i społeczna</w:t>
                            </w:r>
                          </w:p>
                          <w:p>
                            <w:pPr>
                              <w:spacing w:before="0" w:after="160" w:line="258.0000114440918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Podręcznik dla dorosłych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1595120</wp:posOffset>
                </wp:positionV>
                <wp:extent cx="4035425" cy="2600325"/>
                <wp:effectExtent l="0" t="0" r="0" b="0"/>
                <wp:wrapSquare wrapText="bothSides" distT="45720" distB="45720" distL="114300" distR="11430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425" cy="260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tabs>
          <w:tab w:val="left" w:leader="none" w:pos="900"/>
        </w:tabs>
        <w:rPr/>
      </w:pPr>
      <w:r w:rsidRPr="00000000" w:rsidDel="00000000" w:rsidR="00000000">
        <w:rPr/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l="0" t="0" r="0" b="0"/>
            <wp:wrapSquare wrapText="bothSides" distT="0" distB="0" distL="114300" distR="114300"/>
            <wp:docPr id="9" name="image1.png" descr="Shape&#10;&#10;Description automatically generated"/>
            <a:graphic>
              <a:graphicData uri="http://schemas.openxmlformats.org/drawingml/2006/picture">
                <pic:pic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</w:r>
    </w:p>
    <w:p>
      <w:pPr>
        <w:pStyle w:val="Heading2"/>
        <w:tabs>
          <w:tab w:val="left" w:leader="none" w:pos="5341"/>
        </w:tabs>
        <w:jc w:val="center"/>
        <w:rPr>
          <w:rFonts w:ascii="Bebas Neue" w:hAnsi="Bebas Neue" w:eastAsia="Bebas Neue" w:cs="Bebas Neue"/>
          <w:color w:val="f5b335"/>
          <w:sz w:val="48"/>
          <w:szCs w:val="48"/>
        </w:rPr>
      </w:pPr>
      <w:r w:rsidRPr="00000000" w:rsidDel="00000000" w:rsidR="00000000">
        <w:rPr>
          <w:rFonts w:ascii="Bebas Neue" w:hAnsi="Bebas Neue" w:eastAsia="Bebas Neue" w:cs="Bebas Neue"/>
          <w:color w:val="f5b335"/>
          <w:sz w:val="48"/>
          <w:szCs w:val="48"/>
          <w:rtl w:val="0"/>
        </w:rPr>
        <w:t xml:space="preserve">Zasoby do mikrouczenia się w celu ponownego zaangażowania nisko wykwalifikowanych dorosłych słuchaczy w edukację i szkolenia </w:t>
      </w:r>
    </w:p>
    <w:p>
      <w:pPr>
        <w:pStyle w:val="Heading2"/>
        <w:tabs>
          <w:tab w:val="left" w:leader="none" w:pos="5341"/>
        </w:tabs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  <w:rtl w:val="0"/>
        </w:rPr>
        <w:t xml:space="preserve">Podręcznik dla nauczycieli dorosłych </w:t>
      </w:r>
    </w:p>
    <w:p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Plan lekcji</w:t>
      </w:r>
    </w:p>
    <w:p>
      <w:pPr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ponownego zaangażowania nisko wykwalifikowanych dorosłych słuchaczy w centrum i społeczności.  W tym krótkim podręczniku przedstawimy podstawowe informacje na temat tematu omawianego w materiale wideo i udzielimy wskazówek, które pomogą ci wprowadzić i wdrożyć towarzyszące ćwiczenie z dorosłymi uczniami w twojej grupie.  Ćwiczenie, które zostało opracowane, aby towarzyszyć zasobom wideo, ma na celu dalsze rozwijanie ich zrozumienia tematu przedstawionego w zasobach wideo. Wreszcie, niniejszy podręcznik przedstawi również kilka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pytań </w:t>
      </w: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podsumowujących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, które można wykorzystać w grupie dorosłych uczniów, aby ocenić przyjazność dla użytkownika i jakość wykonanego z nimi ćwiczenia. </w:t>
      </w:r>
    </w:p>
    <w:p w:rsidRPr="00000000" w:rsidR="00000000" w:rsidDel="00000000" w:rsidP="00000000" w:rsidRDefault="00000000" w14:paraId="00000007">
      <w:pPr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Temat tego podręcznika odnosi się do zasobów wideo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Kompetencje wielojęzyczne oraz Temat cyfrowy i społeczny.</w:t>
      </w:r>
    </w:p>
    <w:p w:rsidRPr="00000000" w:rsidR="00000000" w:rsidDel="00000000" w:rsidP="00000000" w:rsidRDefault="00000000" w14:paraId="00000009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A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tematu </w:t>
      </w:r>
    </w:p>
    <w:p w:rsidRPr="00000000" w:rsidR="00000000" w:rsidDel="00000000" w:rsidP="00000000" w:rsidRDefault="00000000" w14:paraId="0000000C">
      <w:pPr>
        <w:rPr/>
      </w:pPr>
      <w:r w:rsidRPr="00000000" w:rsidDel="00000000" w:rsidR="00000000">
        <w:rPr>
          <w:rtl w:val="0"/>
        </w:rPr>
      </w:r>
    </w:p>
    <w:p>
      <w:pPr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 tym materiale zagłębimy się w intrygującą sferę mediów cyfrowych i komunikacji międzykulturowej. Nasi uczestnicy otrzymają praktyczną wiedzę na temat globalnego charakteru mediów cyfrowych i ich wpływu na społeczeństwo jako dorosłych uczniów. Przyjrzymy się, jak wielojęzyczna komunikacja i transnarodowość wpływają na nawyki i konwencje związane z mediami cyfrowymi. Ponadto wideo wyposaży uczniów w umiejętność tworzenia, selekcjonowania i rozpowszechniania materiałów multimedialnych, promując globalną komunikację i zrozumienie. Pod koniec korzystania z tego zasobu uczniowie będą cenić inkluzywność i różnorodność, rozumiejąc wartość angażowania się w inne perspektywy i grupy za pośrednictwem kanałów mediów cyfrowych. </w:t>
      </w:r>
    </w:p>
    <w:p w:rsidRPr="00000000" w:rsidR="00000000" w:rsidDel="00000000" w:rsidP="00000000" w:rsidRDefault="00000000" w14:paraId="0000000E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F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działania </w:t>
      </w:r>
    </w:p>
    <w:p w:rsidRPr="00000000" w:rsidR="00000000" w:rsidDel="00000000" w:rsidP="00000000" w:rsidRDefault="00000000" w14:paraId="00000011">
      <w:pPr>
        <w:rPr/>
      </w:pPr>
      <w:r w:rsidRPr="00000000" w:rsidDel="00000000" w:rsidR="00000000">
        <w:rPr>
          <w:rtl w:val="0"/>
        </w:rPr>
      </w:r>
    </w:p>
    <w:p>
      <w:pPr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Ćwiczenie towarzyszące składa się ze studium przypadku opartego na rzeczywistym scenariuszu, w którym uczniowie wykorzystują swoją wiedzę na temat mediów cyfrowych i komunikacji międzykulturowej. Opracują materiały multimedialne, które promują integrację i łączą kultury za pomocą narzędzi i technik mediów cyfrowych. Zadanie to pozwoli uczniom zastosować w praktyce zasady omówione w materiale wideo, rozwijając krytyczne myślenie.</w:t>
      </w:r>
    </w:p>
    <w:p w:rsidRPr="00000000" w:rsidR="00000000" w:rsidDel="00000000" w:rsidP="00000000" w:rsidRDefault="00000000" w14:paraId="00000013">
      <w:pPr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Korzystanie z tego zasobu w grupie </w:t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Aby korzystać z tego zasobu z dorosłymi uczniami w lokalnej grupie, zalecamy rozpoczęcie od pokazania im materiału wideo w celu wprowadzenia tematu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mediów cyfrowych i kompetencji wielojęzycznych. 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Ten film pomoże uczestnikom zrozumieć temat przed rozpoczęciem ćwiczenia z materiałami dla uczestników. Gdy zdobędą ogólną wiedzę na ten temat, będą mogli rozpocząć rozdawanie materiałów. W tym celu zalecamy wydrukowanie jednej ulotki dla każdego uczestnika. Wszystko, czego uczniowie potrzebują do tego zasobu, to długopis do wypełnienia ulotki dla ucznia i komputer do obejrzenia filmu. Ukończenie tego materiału zajmie łącznie godzinę.</w:t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Pytania podsumowujące</w:t>
      </w:r>
    </w:p>
    <w:p w:rsidRPr="00000000" w:rsidR="00000000" w:rsidDel="00000000" w:rsidP="00000000" w:rsidRDefault="00000000" w14:paraId="00000017">
      <w:pPr>
        <w:rPr/>
      </w:pPr>
      <w:r w:rsidRPr="00000000" w:rsidDel="00000000" w:rsidR="00000000">
        <w:rPr>
          <w:rtl w:val="0"/>
        </w:rPr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start="36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Jaką rolę Twoim zdaniem mogą odegrać media cyfrowe w promowaniu międzykulturowego zrozumienia i integracji? </w:t>
        <w:br w:type="textWrapping"/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start="36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Jakie trudności napotkałeś podczas pracy nad tworzeniem treści multimedialnych i jak je pokonałeś? </w:t>
        <w:br w:type="textWrapping"/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start="36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Jaki wpływ miało to doświadczenie na zrozumienie globalnego charakteru mediów cyfrowych i znaczenia komunikacji międzykulturowej? </w:t>
        <w:br w:type="textWrapping"/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76" w:lineRule="auto"/>
        <w:ind w:start="36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 możesz wdrożyć to, czego nauczyłeś się z tego zasobu w swoim życiu osobistym lub zawodowym?</w:t>
      </w:r>
    </w:p>
    <w:p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Podaj przykład, w jaki sposób wykorzystanie różnorodności w technikach mediów cyfrowych może mieć korzystny wpływ społeczny.</w:t>
      </w:r>
    </w:p>
    <w:p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Korzystając z tego podręcznika dla nauczycieli i towarzyszących mu materiałów wideo, umożliwisz dorosłym uczniom o niskich kwalifikacjach poruszanie się po cyfrowym krajobrazie z pewnością siebie, wspierając zrozumienie i integrację w ich interakcjach oraz przyczyniając się do bardziej połączonego świata.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E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Źródła:</w:t>
      </w:r>
    </w:p>
    <w:p>
      <w:pPr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Włączanie czynników społecznych do międzykulturowej edukacji medycznej</w:t>
      </w:r>
    </w:p>
    <w:p>
      <w:pPr>
        <w:rPr/>
      </w:pPr>
      <w:hyperlink r:id="rId9">
        <w:r w:rsidRPr="00000000" w:rsidDel="00000000" w:rsidR="00000000">
          <w:rPr>
            <w:color w:val="0563c1"/>
            <w:u w:val="single"/>
            <w:rtl w:val="0"/>
          </w:rPr>
          <w:t xml:space="preserve">https://journals.lww.com/academicmedicine/Fulltext/2002/03000/Integrating_Social_Factors_into_Cross_cultural.3.aspx </w:t>
        </w:r>
      </w:hyperlink>
    </w:p>
    <w:p>
      <w:pPr>
        <w:rPr/>
      </w:pPr>
      <w:r w:rsidRPr="00000000" w:rsidDel="00000000" w:rsidR="00000000">
        <w:rPr>
          <w:rtl w:val="0"/>
        </w:rPr>
        <w:t xml:space="preserve">Green, Alexander R. MD; Betancourt, Joseph R. MD, MPH; Carrillo, J. Emilio MD, MPH</w:t>
      </w:r>
    </w:p>
    <w:p>
      <w:pPr>
        <w:rPr/>
      </w:pPr>
      <w:r w:rsidRPr="00000000" w:rsidDel="00000000" w:rsidR="00000000">
        <w:rPr>
          <w:rtl w:val="0"/>
        </w:rPr>
        <w:t xml:space="preserve">Academic Medicine 77(3):p 193-197, marzec 2002.</w:t>
      </w:r>
    </w:p>
    <w:p w:rsidRPr="00000000" w:rsidR="00000000" w:rsidDel="00000000" w:rsidP="00000000" w:rsidRDefault="00000000" w14:paraId="00000024">
      <w:pPr>
        <w:rPr/>
      </w:pPr>
      <w:r w:rsidRPr="00000000" w:rsidDel="00000000" w:rsidR="00000000">
        <w:rPr>
          <w:rtl w:val="0"/>
        </w:rPr>
      </w:r>
    </w:p>
    <w:p>
      <w:pPr>
        <w:rPr/>
      </w:pPr>
      <w:r w:rsidRPr="00000000" w:rsidDel="00000000" w:rsidR="00000000">
        <w:rPr>
          <w:sz w:val="24"/>
          <w:szCs w:val="24"/>
          <w:rtl w:val="0"/>
        </w:rPr>
        <w:t xml:space="preserve">Antologia badań nad edukacją dorosłych i rozwojem osób uczących się przez całe życie</w:t>
      </w:r>
      <w:r w:rsidRPr="00000000" w:rsidDel="00000000" w:rsidR="00000000">
        <w:rPr>
          <w:rtl w:val="0"/>
        </w:rPr>
      </w:r>
    </w:p>
    <w:p>
      <w:pPr>
        <w:rPr/>
      </w:pPr>
      <w:hyperlink r:id="rId10">
        <w:r w:rsidRPr="00000000" w:rsidDel="00000000" w:rsidR="00000000">
          <w:rPr>
            <w:color w:val="0563c1"/>
            <w:u w:val="single"/>
            <w:rtl w:val="0"/>
          </w:rPr>
          <w:t xml:space="preserve">https://www.igi-global.com/chapter/adult-learner-characteristics-important-for-successful-learning-in-cross-cultural-web-based-learning-environments-in-higher-education/279739 </w:t>
        </w:r>
      </w:hyperlink>
    </w:p>
    <w:p>
      <w:pPr>
        <w:rPr/>
      </w:pPr>
      <w:r w:rsidRPr="00000000" w:rsidDel="00000000" w:rsidR="00000000">
        <w:rPr>
          <w:rtl w:val="0"/>
        </w:rPr>
        <w:t xml:space="preserve">Joseph George M. Lutta Copyright: © 2021</w:t>
      </w:r>
    </w:p>
    <w:p w:rsidRPr="00000000" w:rsidR="00000000" w:rsidDel="00000000" w:rsidP="00000000" w:rsidRDefault="00000000" w14:paraId="00000028">
      <w:pPr>
        <w:rPr/>
      </w:pPr>
      <w:r w:rsidRPr="00000000" w:rsidDel="00000000" w:rsidR="00000000">
        <w:rPr>
          <w:rtl w:val="0"/>
        </w:rPr>
      </w:r>
    </w:p>
    <w:p>
      <w:pPr>
        <w:rPr/>
      </w:pPr>
      <w:r w:rsidRPr="00000000" w:rsidDel="00000000" w:rsidR="00000000">
        <w:rPr>
          <w:rtl w:val="0"/>
        </w:rPr>
        <w:t xml:space="preserve">Wielojęzyczność w Internecie </w:t>
        <w:br w:type="textWrapping"/>
      </w:r>
      <w:r w:rsidRPr="00000000" w:rsidDel="00000000" w:rsidR="00000000">
        <w:rPr>
          <w:rtl w:val="0"/>
        </w:rPr>
        <w:t xml:space="preserve">https://www.academia.edu/download/13686668/Ch_22_-_Leppanen_-_Peuronen__pre-print.pdf </w:t>
      </w:r>
    </w:p>
    <w:p>
      <w:pPr>
        <w:rPr/>
      </w:pPr>
      <w:r w:rsidRPr="00000000" w:rsidDel="00000000" w:rsidR="00000000">
        <w:rPr>
          <w:rtl w:val="0"/>
        </w:rPr>
        <w:t xml:space="preserve">In Martin-Jones, M., Blackledge A., and Creese Angela. (Forthcoming in 2012).</w:t>
        <w:br w:type="textWrapping"/>
        <w:t xml:space="preserve"> The Routledge Handbook of Multilingualism. London and New York: Routledge.</w:t>
      </w:r>
    </w:p>
    <w:p w:rsidRPr="00000000" w:rsidR="00000000" w:rsidDel="00000000" w:rsidP="00000000" w:rsidRDefault="00000000" w14:paraId="0000002B">
      <w:pPr>
        <w:rPr/>
      </w:pPr>
      <w:r w:rsidRPr="00000000" w:rsidDel="00000000" w:rsidR="00000000">
        <w:rPr>
          <w:rtl w:val="0"/>
        </w:rPr>
      </w:r>
    </w:p>
    <w:p>
      <w:pPr>
        <w:jc w:val="center"/>
        <w:rPr/>
      </w:pPr>
      <w:r w:rsidRPr="00000000" w:rsidDel="00000000" w:rsidR="00000000">
        <w:rPr>
          <w:rFonts w:ascii="Source Sans Pro" w:hAnsi="Source Sans Pro" w:eastAsia="Source Sans Pro" w:cs="Source Sans Pro"/>
          <w:color w:val="000000"/>
        </w:rPr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l="0" t="0" r="0" b="0"/>
            <wp:wrapSquare wrapText="bothSides" distT="0" distB="0" distL="114300" distR="114300"/>
            <wp:docPr id="10" name="image2.png" descr="Timeline&#10;&#10;Description automatically generated"/>
            <a:graphic>
              <a:graphicData uri="http://schemas.openxmlformats.org/drawingml/2006/picture">
                <pic:pic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12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Fonts w:ascii="Source Sans Pro" w:hAnsi="Source Sans Pro" w:eastAsia="Source Sans Pro" w:cs="Source Sans Pro"/>
          <w:color w:val="000000"/>
          <w:rtl w:val="0"/>
        </w:rPr>
        <w:t xml:space="preserve"> </w:t>
      </w:r>
      <w:r w:rsidRPr="00000000" w:rsidDel="00000000" w:rsidR="00000000">
        <w:rPr>
          <w:rtl w:val="0"/>
        </w:rPr>
      </w:r>
    </w:p>
    <w:sectPr>
      <w:headerReference w:type="first" r:id="rId13"/>
      <w:footerReference w:type="first" r:id="rId14"/>
      <w:pgSz w:w="11906" w:h="16838" w:orient="portrait"/>
      <w:pgMar w:top="1440" w:right="1440" w:bottom="1440" w:lef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2E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2D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hAnsi="Calibri" w:eastAsia="Calibri" w:cs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="240" w:lineRule="auto"/>
    </w:pPr>
    <w:rPr>
      <w:rFonts w:ascii="Calibri" w:hAnsi="Calibri" w:eastAsia="Calibri" w:cs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B6AE4"/>
    <w:pPr>
      <w:keepNext w:val="1"/>
      <w:keepLines w:val="1"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25c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642B8"/>
    <w:pPr>
      <w:keepNext w:val="1"/>
      <w:keepLines w:val="1"/>
      <w:spacing w:before="40" w:after="0"/>
      <w:outlineLvl w:val="1"/>
    </w:pPr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6AE4"/>
  </w:style>
  <w:style w:type="paragraph" w:styleId="Footer">
    <w:name w:val="footer"/>
    <w:basedOn w:val="Normal"/>
    <w:link w:val="Foot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6AE4"/>
  </w:style>
  <w:style w:type="character" w:styleId="Heading1Char" w:customStyle="1">
    <w:name w:val="Heading 1 Char"/>
    <w:basedOn w:val="DefaultParagraphFont"/>
    <w:link w:val="Heading1"/>
    <w:uiPriority w:val="9"/>
    <w:rsid w:val="002B6AE4"/>
    <w:rPr>
      <w:rFonts w:asciiTheme="majorHAnsi" w:hAnsiTheme="majorHAnsi" w:eastAsiaTheme="majorEastAsia" w:cstheme="majorBidi"/>
      <w:color w:val="225c9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642B8"/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 w:val="1"/>
    <w:rsid w:val="00026A45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3A34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A345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cademia.edu/download/13686668/Ch_22_-_Leppanen_-_Peuronen__pre-print.pdf" TargetMode="External"/><Relationship Id="rId10" Type="http://schemas.openxmlformats.org/officeDocument/2006/relationships/hyperlink" Target="https://www.igi-global.com/chapter/adult-learner-characteristics-important-for-successful-learning-in-cross-cultural-web-based-learning-environments-in-higher-education/279739" TargetMode="External"/><Relationship Id="rId13" Type="http://schemas.openxmlformats.org/officeDocument/2006/relationships/header" Target="header1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ournals.lww.com/academicmedicine/Fulltext/2002/03000/Integrating_Social_Factors_into_Cross_cultural.3.aspx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izMkFGCJWbl82gamuZ72JxyDag==">CgMxLjA4AHIhMWplU21leDk0bWV2X0Q5dE82eTV2a1dlZGd0UkhtLTdK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2023-08-03T09:21:00.0000000Z</dcterms:created>
  <dc:creator>Gary</dc:creator>
  <keywords>, docId:53DE0AC95FDDE1CC87AC5FA3F415D9B9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