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35425" cy="32480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160750"/>
                          <a:ext cx="4025900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Vícejazyčné kompetence a digitální a sociální téma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35425" cy="32480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324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Vícejazy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né kompetence a digitální a sociální téma.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tomto zdroji se pono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íme do zajímavé oblasti digitálních médií a mezikulturní komunikace. Naši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získají praktické poznatky o globální povaze digitálních médií a jejich dopadu na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nost v roli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lých student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Podíváme se na to, jak vícejazy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ná komunikace a nadnárodnost ovliv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ují zvyky a konvence v oblasti digitálních médií. Krom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toho video vybaví studenty schopností vytvá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et, kurátorsky zpracovávat a ší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multimediální materiály,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ímž podpo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globální komunikaci a porozum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ní. Na konci tohoto zdroje si vaši studenti budou vážit inkluzivity a rozmanitosti a pochopí hodnotu zapojení jiných perspektiv a skupin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digitálních mediálních kanál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Doprovodná aktivita se skládá z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založené na reálném scéná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i, v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mž žáci využijí své znalosti digitálních médií a mezikulturní komunikace. Pomocí nástroj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technik digitálních médií vytvo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multimediální materiál, který podporuje inkluzivitu a propojuje kultury. Tento úkol umožní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uplatnit v praxi zásady, jimiž se zabývá videomateriál, a rozvíjet tak kritické myšlení.</w:t>
      </w:r>
    </w:p>
    <w:p w:rsidR="00000000" w:rsidDel="00000000" w:rsidP="00000000" w:rsidRDefault="00000000" w:rsidRPr="00000000" w14:paraId="00000014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Vícejazy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né kompetence a digitální a sociální téma.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7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Jakou roli mohou podle vás hrát digitální média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 mezikulturního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inkluzivity?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jakými obtížemi jste se setkali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práci na aktivit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vývoje multimediálního obsahu a jak jste je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ekonali?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Jaký dopad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la tato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 zkušenost na vaše chápání globální povahy digitálních médií a významu mezikulturní komunikace?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uplatnit to, co jste se z tohoto zdroje nau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ili, ve svém osobním nebo profesním život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Uve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te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íklad toho, jak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ijetí rozmanitosti v technikách digitálních médií vést k prosp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šnému spole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enskému dopadu.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Pomocí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pro pedagogy a doprovodných videomateriál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umožníte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m s nízkou kvalifikací procházet digitálním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edím s jistotou,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íte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inkluzivitu v jejich interakcích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jete k propojen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jšímu sv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tu.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Zdroje: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Integrating Social Factors into Cross-cultural Medical Education</w:t>
      </w:r>
    </w:p>
    <w:p w:rsidR="00000000" w:rsidDel="00000000" w:rsidP="00000000" w:rsidRDefault="00000000" w:rsidRPr="00000000" w14:paraId="00000026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https://journals.lww.com/academicmedicine/Fulltext/2002/03000/Integrating_Social_Factors_into_Cross_cultural.3.aspx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Green, Alexander R. MD; Betancourt, Joseph R. MD, MPH; Carrillo, J. Emilio MD, MPH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Academic Medicine 77(3):p 193-197, March 2002.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sz w:val="24"/>
          <w:szCs w:val="24"/>
          <w:rtl w:val="0"/>
        </w:rPr>
        <w:t xml:space="preserve">Research Anthology on Adult Education and the Development of Lifelong Learners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https://www.igi-global.com/chapter/adult-learner-characteristics-important-for-successful-learning-in-cross-cultural-web-based-learning-environments-in-higher-education/279739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Joseph George M. Lutta Copyright: © 2021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Multilingualism on the internet </w:t>
        <w:br w:type="textWrapping"/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https://www.academia.edu/download/13686668/Ch_22_-_Leppanen_-_Peuronen__pre-print.pdf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In Martin-Jones, M., Blackledge A., and Creese Angela. (Forthcoming in 2012).</w:t>
        <w:br w:type="textWrapping"/>
        <w:t xml:space="preserve">The Routledge Handbook of Multilingualism. London and New York: Routledge.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2" w:type="first"/>
      <w:footerReference r:id="rId13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www.academia.edu/download/13686668/Ch_22_-_Leppanen_-_Peuronen__pre-print.pdf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gi-global.com/chapter/adult-learner-characteristics-important-for-successful-learning-in-cross-cultural-web-based-learning-environments-in-higher-education/279739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https://journals.lww.com/academicmedicine/Fulltext/2002/03000/Integrating_Social_Factors_into_Cross_cultural.3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