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>
      <w:pPr>
        <w:tabs>
          <w:tab w:val="left" w:leader="none" w:pos="900"/>
        </w:tabs>
        <w:rPr/>
      </w:pPr>
      <w:r w:rsidRPr="00000000" w:rsidDel="00000000" w:rsidR="00000000">
        <w:rPr/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-932813</wp:posOffset>
            </wp:positionH>
            <wp:positionV relativeFrom="margin">
              <wp:posOffset>-953769</wp:posOffset>
            </wp:positionV>
            <wp:extent cx="7625715" cy="10782300"/>
            <wp:effectExtent l="0" t="0" r="0" b="0"/>
            <wp:wrapSquare wrapText="bothSides" distT="0" distB="0" distL="114300" distR="114300"/>
            <wp:docPr id="6" name="image1.png" descr="Shape&#10;&#10;Description automatically generated"/>
            <a:graphic>
              <a:graphicData uri="http://schemas.openxmlformats.org/drawingml/2006/picture">
                <pic:pic>
                  <pic:nvPicPr>
                    <pic:cNvPr id="0" name="image1.png" descr="Shape&#10;&#10;Description automatically generated"/>
                    <pic:cNvPicPr preferRelativeResize="0"/>
                  </pic:nvPicPr>
                  <pic:blipFill>
                    <a:blip r:embed="rId7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tl w:val="0"/>
        </w:rPr>
      </w:r>
      <w:r w:rsidRPr="00000000" w:rsidDel="00000000" w:rsidR="00000000">
        <mc:AlternateContent>
          <mc:Choice Requires="wpg"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1836420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33050" y="3077690"/>
                          <a:ext cx="402590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56"/>
                                <w:vertAlign w:val="baseline"/>
                              </w:rPr>
                              <w:t xml:space="preserve">Świadomość kulturowa i ekspresja Kompetencje oraz sport i hobby </w:t>
                            </w:r>
                          </w:p>
                          <w:p>
                            <w:pPr>
                              <w:spacing w:before="0" w:after="160" w:line="258.99999618530273"/>
                              <w:ind w:start="0" w:end="0" w:firstLine="0"/>
                              <w:jc w:val="right"/>
                              <w:textDirection w:val="btLr"/>
                            </w:pP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56"/>
                                <w:vertAlign w:val="baseline"/>
                              </w:rPr>
                            </w:r>
                            <w:r w:rsidRPr="00000000" w:rsidDel="00000000" w:rsidR="00000000">
                              <w:rPr>
                                <w:rFonts w:ascii="Bebas Neue" w:hAnsi="Bebas Neue" w:eastAsia="Bebas Neue" w:cs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6"/>
                                <w:vertAlign w:val="baseline"/>
                              </w:rPr>
                              <w:t xml:space="preserve">Podręcznik dla dorosłych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distT="45720" distB="45720" distL="114300" distR="114300" simplePos="0" relativeHeight="0" behindDoc="0" locked="0" layoutInCell="1" hidden="0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1836420</wp:posOffset>
                </wp:positionV>
                <wp:extent cx="4035425" cy="1414145"/>
                <wp:effectExtent l="0" t="0" r="0" b="0"/>
                <wp:wrapSquare wrapText="bothSides" distT="45720" distB="45720" distL="114300" distR="114300"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42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>
      <w:pPr>
        <w:pStyle w:val="Heading2"/>
        <w:tabs>
          <w:tab w:val="left" w:leader="none" w:pos="5341"/>
        </w:tabs>
        <w:jc w:val="center"/>
        <w:rPr>
          <w:rFonts w:ascii="Bebas Neue" w:hAnsi="Bebas Neue" w:eastAsia="Bebas Neue" w:cs="Bebas Neue"/>
          <w:color w:val="f5b335"/>
          <w:sz w:val="48"/>
          <w:szCs w:val="48"/>
        </w:rPr>
      </w:pPr>
      <w:r w:rsidRPr="00000000" w:rsidDel="00000000" w:rsidR="00000000">
        <w:rPr>
          <w:rFonts w:ascii="Bebas Neue" w:hAnsi="Bebas Neue" w:eastAsia="Bebas Neue" w:cs="Bebas Neue"/>
          <w:color w:val="f5b335"/>
          <w:sz w:val="48"/>
          <w:szCs w:val="48"/>
          <w:rtl w:val="0"/>
        </w:rPr>
        <w:t xml:space="preserve">Zasoby do mikrouczenia się w celu ponownego zaangażowania nisko wykwalifikowanych dorosłych słuchaczy w edukację i szkolenia </w:t>
      </w:r>
    </w:p>
    <w:p>
      <w:pPr>
        <w:pStyle w:val="Heading2"/>
        <w:tabs>
          <w:tab w:val="left" w:leader="none" w:pos="5341"/>
        </w:tabs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1"/>
          <w:color w:val="1f2126"/>
          <w:sz w:val="36"/>
          <w:szCs w:val="36"/>
          <w:rtl w:val="0"/>
        </w:rPr>
        <w:t xml:space="preserve">Podręcznik dla nauczycieli dorosłych </w:t>
      </w:r>
    </w:p>
    <w:p w:rsidRPr="00000000" w:rsidR="00000000" w:rsidDel="00000000" w:rsidP="00000000" w:rsidRDefault="00000000" w14:paraId="00000004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Celem tego krótkiego podręcznika jest wsparcie doświadczonego edukatora pracującego z nisko wykwalifikowanymi i zmarginalizowanymi dorosłymi słuchaczami o zróżnicowanych potrzebach w korzystaniu z materiałów wideo i arkuszy ćwiczeń dostarczonych w pakiecie zasobów do mikrokształcenia w celu ponownego zaangażowania nisko wykwalifikowanych dorosłych słuchaczy w centrum i społeczności.  W tym krótkim podręczniku przedstawimy podstawowe informacje na temat tematu omawianego w materiale wideo i udzielimy wskazówek, które pomogą ci wprowadzić i wdrożyć towarzyszące ćwiczenie z dorosłymi uczniami w twojej grupie.  Ćwiczenie, które zostało opracowane, aby towarzyszyć zasobom wideo, ma na celu dalsze rozwijanie ich zrozumienia tematu przedstawionego w zasobach wideo. Wreszcie, niniejszy podręcznik przedstawi również kilka pytań podsumowujących, które można wykorzystać w grupie dorosłych uczniów, aby ocenić przyjazność dla użytkownika i jakość wykonanego z nimi ćwiczenia. </w:t>
      </w:r>
    </w:p>
    <w:p w:rsidRPr="00000000" w:rsidR="00000000" w:rsidDel="00000000" w:rsidP="00000000" w:rsidRDefault="00000000" w14:paraId="00000006">
      <w:pPr>
        <w:spacing w:line="360" w:lineRule="auto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Temat tego podręcznika odnosi się do zasobów wideo Świadomość kulturowa i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kompetencje w zakresie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ekspresji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oraz Sport i hobby. </w:t>
      </w: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08">
      <w:pPr>
        <w:rPr>
          <w:rFonts w:ascii="Quattrocento Sans" w:hAnsi="Quattrocento Sans" w:eastAsia="Quattrocento Sans" w:cs="Quattrocento Sans"/>
          <w:i w:val="1"/>
          <w:color w:val="000000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tematu </w:t>
      </w:r>
    </w:p>
    <w:p w:rsidRPr="00000000" w:rsidR="00000000" w:rsidDel="00000000" w:rsidP="00000000" w:rsidRDefault="00000000" w14:paraId="0000000A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bookmarkStart w:name="_heading=h.gjdgxs" w:colFirst="0" w:colLast="0" w:id="0"/>
      <w:bookmarkEnd w:id="0"/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Sport i hobby to dobry sposób, aby nauczyć się świadomości kulturowej i wyrażania siebie. Sport łączy ludzi z różnych kultur. Sport nie ma granic i to dzięki niemu możemy uczyć się od siebie nawzajem. Nawet jeśli dziś nadal należy poczynić postępy, szczególnie w zakresie integracji kobiet, osób LGBT lub zniknięcia rasizmu, należy zauważyć, że sport jest jednym z najskuteczniejszych sposobów rozwijania świadomości kulturowej i kompetencji ekspresji. </w:t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Dzięki zasobom ONE-STEP UP osoby dorosłe o niskich kwalifikacjach mogą dowiedzieć się, w jaki sposób te materiały edukacyjne mogą pozytywnie wpłynąć na ich zdolność do uzyskania świadomości kulturowej poprzez sport.  </w:t>
      </w:r>
    </w:p>
    <w:p w:rsidRPr="00000000" w:rsidR="00000000" w:rsidDel="00000000" w:rsidP="00000000" w:rsidRDefault="00000000" w14:paraId="0000000D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Wprowadzenie do działania </w:t>
      </w:r>
    </w:p>
    <w:p w:rsidRPr="00000000" w:rsidR="00000000" w:rsidDel="00000000" w:rsidP="00000000" w:rsidRDefault="00000000" w14:paraId="0000000F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W poradniku dla uczniów nisko wykwalifikowani dorośli mają okazję zagłębić się w inicjatywę realizowaną przez UFOLEP. Projekt ten organizuje zajęcia sportowe na świeżym powietrzu w dzielnicach znajdujących się w niekorzystnej sytuacji, aby stymulować spójność społeczną i zaufanie oraz przekazywać pozytywne wartości.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Praktyka ta pozwala na edukację ludzi w celu poprawy ich umiejętności społecznych oraz wzmocnienia integracji społecznej i kulturowej. Inicjatywa ta otworzyła perspektywy młodych ludzi znajdujących się w trudnej sytuacji i uświadomiła im ich wrażliwość kulturową poprzez sport.</w:t>
      </w:r>
    </w:p>
    <w:p>
      <w:pPr>
        <w:spacing w:line="360" w:lineRule="auto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Ponadto uczniowie mają możliwość zaangażowania się w interesujące ćwiczenie "Taniec dookoła świata". To ćwiczenie pozwoli ci odkryć wiele tańców z całego świata. Odkryjesz inne kultury poprzez dźwięk, muzykę i śpiew.</w:t>
      </w:r>
    </w:p>
    <w:p w:rsidRPr="00000000" w:rsidR="00000000" w:rsidDel="00000000" w:rsidP="00000000" w:rsidRDefault="00000000" w14:paraId="00000012">
      <w:pPr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tl w:val="0"/>
        </w:rPr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Korzystanie z tego zasobu w grupie </w:t>
      </w:r>
    </w:p>
    <w:p w:rsidRPr="00000000" w:rsidR="00000000" w:rsidDel="00000000" w:rsidP="00000000" w:rsidRDefault="00000000" w14:paraId="00000014">
      <w:pPr>
        <w:rPr/>
      </w:pPr>
      <w:r w:rsidRPr="00000000" w:rsidDel="00000000" w:rsidR="00000000">
        <w:rPr>
          <w:rtl w:val="0"/>
        </w:rPr>
      </w:r>
    </w:p>
    <w:p>
      <w:pPr>
        <w:shd w:val="clear" w:fill="ffffff"/>
        <w:spacing w:after="225" w:line="360" w:lineRule="auto"/>
        <w:jc w:val="both"/>
        <w:rPr>
          <w:rFonts w:ascii="Quattrocento Sans" w:hAnsi="Quattrocento Sans" w:eastAsia="Quattrocento Sans" w:cs="Quattrocento Sans"/>
          <w:color w:val="000000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Aby korzystać z tego zasobu z dorosłymi uczniami w lokalnej grupie, zalecamy rozpoczęcie od pokazania im materiału wideo w celu wprowadzenia tematu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świadomości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kulturowej </w:t>
      </w:r>
      <w:r w:rsidRPr="00000000" w:rsidDel="00000000" w:rsidR="00000000">
        <w:rPr>
          <w:rFonts w:ascii="Quattrocento Sans" w:hAnsi="Quattrocento Sans" w:eastAsia="Quattrocento Sans" w:cs="Quattrocento Sans"/>
          <w:color w:val="000000"/>
          <w:sz w:val="24"/>
          <w:szCs w:val="24"/>
          <w:rtl w:val="0"/>
        </w:rPr>
        <w:t xml:space="preserve">i kompetencji ekspresji oraz sportu i hobby. Ten film pomoże uczniom zrozumieć temat, zanim rozpoczną ćwiczenie z materiałami dla uczniów. Gdy zdobędą ogólną wiedzę na ten temat, będą mogli rozpocząć rozdawanie materiałów. W tym celu zalecamy wydrukowanie jednej ulotki dla każdego uczestnika. Wszystko, czego uczniowie potrzebują do tego zasobu, to długopis do wypełnienia ulotki dla ucznia i komputer do obejrzenia filmu. Ukończenie tego materiału zajmie łącznie godzinę.</w:t>
      </w:r>
    </w:p>
    <w:p>
      <w:pPr>
        <w:pStyle w:val="Heading2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Pytania podsumowujące</w:t>
      </w:r>
    </w:p>
    <w:p w:rsidRPr="00000000" w:rsidR="00000000" w:rsidDel="00000000" w:rsidP="00000000" w:rsidRDefault="00000000" w14:paraId="00000017">
      <w:pPr>
        <w:rPr/>
      </w:pPr>
      <w:r w:rsidRPr="00000000" w:rsidDel="00000000" w:rsidR="00000000">
        <w:rPr>
          <w:rtl w:val="0"/>
        </w:rPr>
      </w:r>
    </w:p>
    <w:p>
      <w:pPr>
        <w:spacing w:line="360" w:lineRule="auto"/>
        <w:jc w:val="both"/>
        <w:rPr>
          <w:rFonts w:ascii="Quattrocento Sans" w:hAnsi="Quattrocento Sans" w:eastAsia="Quattrocento Sans" w:cs="Quattrocento Sans"/>
          <w:sz w:val="24"/>
          <w:szCs w:val="24"/>
        </w:rPr>
      </w:pP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Oto kilka potencjalnych pytań podsumowujących, nad którymi uczestnicy mogą się zastanowić po zakończeniu studium przypadku i ćwiczenia: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Co najbardziej zaskoczyło Cię w inicjatywie "Start on the Street"?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Gdybyś miał taką możliwość, czy chciałbyś wziąć udział w tego rodzaju wydarzeniu?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ten projekt wykroczył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poza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nauczanie świadomości kulturowej i kompetencji ekspresji?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Jakie były Twoje doświadczenia podczas "Tańca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dookoła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świata"? </w:t>
      </w:r>
    </w:p>
    <w:p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0" w:line="360" w:lineRule="auto"/>
        <w:ind w:start="720" w:end="0" w:hanging="360"/>
        <w:jc w:val="both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 jaki sposób można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włączyć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sport i </w:t>
      </w:r>
      <w:r w:rsidRPr="00000000" w:rsidDel="00000000" w:rsidR="00000000">
        <w:rPr>
          <w:rFonts w:ascii="Quattrocento Sans" w:hAnsi="Quattrocento Sans" w:eastAsia="Quattrocento Sans" w:cs="Quattrocento Sans"/>
          <w:sz w:val="24"/>
          <w:szCs w:val="24"/>
          <w:rtl w:val="0"/>
        </w:rPr>
        <w:t xml:space="preserve">hobby </w:t>
      </w:r>
      <w:r w:rsidRPr="00000000" w:rsidDel="00000000" w:rsidR="00000000"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do programów edukacyjnych lub szkoleniowych dla nisko wykwalifikowanych dorosłych, aby poprawić ich świadomość kulturową i kompetencje w zakresie wyrażania siebie? </w:t>
      </w:r>
    </w:p>
    <w:p w:rsidRPr="00000000" w:rsidR="00000000" w:rsidDel="00000000" w:rsidP="00000000" w:rsidRDefault="00000000" w14:paraId="0000001E">
      <w:pPr>
        <w:keepNext w:val="0"/>
        <w:keepLines w:val="0"/>
        <w:pageBreakBefore w:val="0"/>
        <w:widowControl w:val="1"/>
        <w:pBdr>
          <w:top w:val="nil" w:sz="0" w:space="0"/>
          <w:left w:val="nil" w:sz="0" w:space="0"/>
          <w:bottom w:val="nil" w:sz="0" w:space="0"/>
          <w:right w:val="nil" w:sz="0" w:space="0"/>
          <w:between w:val="nil" w:sz="0" w:space="0"/>
        </w:pBdr>
        <w:shd w:val="clear" w:fill="auto"/>
        <w:spacing w:before="0" w:after="160" w:line="259" w:lineRule="auto"/>
        <w:ind w:start="720" w:end="0" w:firstLine="0"/>
        <w:jc w:val="left"/>
        <w:rPr>
          <w:rFonts w:ascii="Quattrocento Sans" w:hAnsi="Quattrocento Sans" w:eastAsia="Quattrocento Sans" w:cs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 w:rsidRPr="00000000" w:rsidDel="00000000" w:rsidR="00000000">
        <w:rPr>
          <w:rtl w:val="0"/>
        </w:rPr>
      </w:r>
    </w:p>
    <w:p w:rsidRPr="00000000" w:rsidR="00000000" w:rsidDel="00000000" w:rsidP="00000000" w:rsidRDefault="00000000" w14:paraId="0000001F">
      <w:pPr>
        <w:rPr/>
      </w:pPr>
      <w:r w:rsidRPr="00000000" w:rsidDel="00000000" w:rsidR="00000000">
        <w:rPr>
          <w:rtl w:val="0"/>
        </w:rPr>
      </w:r>
    </w:p>
    <w:p>
      <w:pPr>
        <w:jc w:val="center"/>
        <w:rPr/>
      </w:pPr>
      <w:r w:rsidRPr="00000000" w:rsidDel="00000000" w:rsidR="00000000">
        <w:rPr>
          <w:rFonts w:ascii="Source Sans Pro" w:hAnsi="Source Sans Pro" w:eastAsia="Source Sans Pro" w:cs="Source Sans Pro"/>
          <w:color w:val="000000"/>
        </w:rPr>
        <w:drawing>
          <wp:anchor distT="0" distB="0" distL="114300" distR="114300" simplePos="0" relativeHeight="0" behindDoc="0" locked="0" layoutInCell="1" hidden="0" allowOverlap="1">
            <wp:simplePos x="0" y="0"/>
            <wp:positionH relativeFrom="margin">
              <wp:posOffset>-914399</wp:posOffset>
            </wp:positionH>
            <wp:positionV relativeFrom="margin">
              <wp:posOffset>-931544</wp:posOffset>
            </wp:positionV>
            <wp:extent cx="7625715" cy="10765155"/>
            <wp:effectExtent l="0" t="0" r="0" b="0"/>
            <wp:wrapSquare wrapText="bothSides" distT="0" distB="0" distL="114300" distR="114300"/>
            <wp:docPr id="7" name="image2.png" descr="Timeline&#10;&#10;Description automatically generated"/>
            <a:graphic>
              <a:graphicData uri="http://schemas.openxmlformats.org/drawingml/2006/picture">
                <pic:pic>
                  <pic:nvPicPr>
                    <pic:cNvPr id="0" name="image2.png" descr="Timeline&#10;&#10;Description automatically generated"/>
                    <pic:cNvPicPr preferRelativeResize="0"/>
                  </pic:nvPicPr>
                  <pic:blipFill>
                    <a:blip r:embed="rId9"/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651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RPr="00000000" w:rsidDel="00000000" w:rsidR="00000000">
        <w:rPr>
          <w:rFonts w:ascii="Source Sans Pro" w:hAnsi="Source Sans Pro" w:eastAsia="Source Sans Pro" w:cs="Source Sans Pro"/>
          <w:color w:val="000000"/>
          <w:rtl w:val="0"/>
        </w:rPr>
        <w:t xml:space="preserve"> </w:t>
      </w:r>
      <w:r w:rsidRPr="00000000" w:rsidDel="00000000" w:rsidR="00000000">
        <w:rPr>
          <w:rtl w:val="0"/>
        </w:rPr>
      </w:r>
    </w:p>
    <w:sectPr>
      <w:footerReference w:type="first" r:id="rId10"/>
      <w:pgSz w:w="11906" w:h="16838" w:orient="portrait"/>
      <w:pgMar w:top="1440" w:right="1440" w:bottom="1440" w:left="144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ebas Neue">
    <w:embedRegular w:fontKey="{00000000-0000-0000-0000-000000000000}" r:id="rId1" w:subsetted="0"/>
  </w:font>
  <w:font w:name="Quattrocento Sans">
    <w:embedBold w:fontKey="{00000000-0000-0000-0000-000000000000}" r:id="rId2" w:subsetted="0"/>
    <w:embedBol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  <w:font w:name="Source Sans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Pr="00000000" w:rsidR="00000000" w:rsidDel="00000000" w:rsidP="00000000" w:rsidRDefault="00000000" w14:paraId="00000021">
    <w:pPr>
      <w:keepNext w:val="0"/>
      <w:keepLines w:val="0"/>
      <w:pageBreakBefore w:val="0"/>
      <w:widowControl w:val="1"/>
      <w:pBdr>
        <w:top w:val="nil" w:sz="0" w:space="0"/>
        <w:left w:val="nil" w:sz="0" w:space="0"/>
        <w:bottom w:val="nil" w:sz="0" w:space="0"/>
        <w:right w:val="nil" w:sz="0" w:space="0"/>
        <w:between w:val="nil" w:sz="0" w:space="0"/>
      </w:pBdr>
      <w:shd w:val="clear" w:fill="auto"/>
      <w:tabs>
        <w:tab w:val="center" w:leader="none" w:pos="4513"/>
        <w:tab w:val="right" w:leader="none" w:pos="9026"/>
      </w:tabs>
      <w:spacing w:before="0" w:after="0" w:line="240" w:lineRule="auto"/>
      <w:ind w:start="0" w:end="0" w:firstLine="0"/>
      <w:jc w:val="righ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 w:rsidRPr="00000000" w:rsidDel="00000000" w:rsid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hAnsi="Calibri" w:eastAsia="Calibri" w:cs="Calibri"/>
        <w:sz w:val="22"/>
        <w:szCs w:val="22"/>
        <w:lang w:val="en-I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after="0" w:line="240" w:lineRule="auto"/>
    </w:pPr>
    <w:rPr>
      <w:rFonts w:ascii="Calibri" w:hAnsi="Calibri" w:eastAsia="Calibri" w:cs="Calibri"/>
      <w:color w:val="225c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after="0" w:lineRule="auto"/>
    </w:pPr>
    <w:rPr>
      <w:rFonts w:ascii="Calibri" w:hAnsi="Calibri" w:eastAsia="Calibri" w:cs="Calibri"/>
      <w:color w:val="ffc00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before="220" w:after="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itre1">
    <w:name w:val="heading 1"/>
    <w:basedOn w:val="Normal"/>
    <w:next w:val="Normal"/>
    <w:link w:val="Titre1Car"/>
    <w:uiPriority w:val="9"/>
    <w:qFormat w:val="1"/>
    <w:rsid w:val="002B6AE4"/>
    <w:pPr>
      <w:keepNext w:val="1"/>
      <w:keepLines w:val="1"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225c9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 w:val="1"/>
    <w:qFormat w:val="1"/>
    <w:rsid w:val="00C642B8"/>
    <w:pPr>
      <w:keepNext w:val="1"/>
      <w:keepLines w:val="1"/>
      <w:spacing w:before="40" w:after="0"/>
      <w:outlineLvl w:val="1"/>
    </w:pPr>
    <w:rPr>
      <w:rFonts w:asciiTheme="majorHAnsi" w:hAnsiTheme="majorHAnsi" w:eastAsiaTheme="majorEastAsia" w:cstheme="majorBidi"/>
      <w:color w:val="ffc000"/>
      <w:sz w:val="26"/>
      <w:szCs w:val="2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2B6AE4"/>
  </w:style>
  <w:style w:type="paragraph" w:styleId="Pieddepage">
    <w:name w:val="footer"/>
    <w:basedOn w:val="Normal"/>
    <w:link w:val="PieddepageCar"/>
    <w:uiPriority w:val="99"/>
    <w:unhideWhenUsed w:val="1"/>
    <w:rsid w:val="002B6AE4"/>
    <w:pPr>
      <w:tabs>
        <w:tab w:val="center" w:pos="4513"/>
        <w:tab w:val="right" w:pos="9026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2B6AE4"/>
  </w:style>
  <w:style w:type="character" w:styleId="Titre1Car" w:customStyle="1">
    <w:name w:val="Titre 1 Car"/>
    <w:basedOn w:val="Policepardfaut"/>
    <w:link w:val="Titre1"/>
    <w:uiPriority w:val="9"/>
    <w:rsid w:val="002B6AE4"/>
    <w:rPr>
      <w:rFonts w:asciiTheme="majorHAnsi" w:hAnsiTheme="majorHAnsi" w:eastAsiaTheme="majorEastAsia" w:cstheme="majorBidi"/>
      <w:color w:val="225c99"/>
      <w:sz w:val="32"/>
      <w:szCs w:val="32"/>
    </w:rPr>
  </w:style>
  <w:style w:type="character" w:styleId="Titre2Car" w:customStyle="1">
    <w:name w:val="Titre 2 Car"/>
    <w:basedOn w:val="Policepardfaut"/>
    <w:link w:val="Titre2"/>
    <w:uiPriority w:val="9"/>
    <w:rsid w:val="00C642B8"/>
    <w:rPr>
      <w:rFonts w:asciiTheme="majorHAnsi" w:hAnsiTheme="majorHAnsi" w:eastAsiaTheme="majorEastAsia" w:cstheme="majorBidi"/>
      <w:color w:val="ffc000"/>
      <w:sz w:val="26"/>
      <w:szCs w:val="26"/>
    </w:rPr>
  </w:style>
  <w:style w:type="paragraph" w:styleId="NormalWeb">
    <w:name w:val="Normal (Web)"/>
    <w:basedOn w:val="Normal"/>
    <w:uiPriority w:val="99"/>
    <w:unhideWhenUsed w:val="1"/>
    <w:rsid w:val="00426F7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Sansinterligne">
    <w:name w:val="No Spacing"/>
    <w:uiPriority w:val="1"/>
    <w:qFormat w:val="1"/>
    <w:rsid w:val="00026A4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 w:val="1"/>
    <w:rsid w:val="00C642B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bold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P2lShJzlnZyTdxu8CHqsLCukA==">CgMxLjAyCGguZ2pkZ3hzOAByITFFRHVJMTY2R2VLVzRoWHc5V3RfMEMwVmpxRUhqUTVlQg==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2023-02-14T11:52:00.0000000Z</dcterms:created>
  <dc:creator>Gary</dc:creator>
  <keywords>, docId:6B7FA526FCA52F022FC01DEDAC42C8AF</keywords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5249d835d6bc5efc2ad5aa721bf1a9b506d5d7749b8119f38bb6f14406e1034b</vt:lpwstr>
  </property>
</Properties>
</file>