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2EA9" w14:textId="77777777" w:rsidR="006D6AC2" w:rsidRDefault="00000000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F8474E9" wp14:editId="27EF0FE8">
                <wp:simplePos x="0" y="0"/>
                <wp:positionH relativeFrom="column">
                  <wp:posOffset>1661160</wp:posOffset>
                </wp:positionH>
                <wp:positionV relativeFrom="paragraph">
                  <wp:posOffset>1592580</wp:posOffset>
                </wp:positionV>
                <wp:extent cx="4294505" cy="2628900"/>
                <wp:effectExtent l="0" t="0" r="0" b="0"/>
                <wp:wrapSquare wrapText="bothSides" distT="45720" distB="4572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50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72727E" w14:textId="77777777" w:rsidR="00053D38" w:rsidRDefault="00053D38">
                            <w:pPr>
                              <w:pStyle w:val="P68B1DB1-Normalny1"/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 xml:space="preserve">KOMPETENCIJA </w:t>
                            </w:r>
                            <w:proofErr w:type="spellStart"/>
                            <w:r>
                              <w:t>građanstvA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4DABBAC2" w14:textId="4ECF72C3" w:rsidR="006D6AC2" w:rsidRDefault="00000000">
                            <w:pPr>
                              <w:pStyle w:val="P68B1DB1-Normalny1"/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umjetničke discipline</w:t>
                            </w:r>
                          </w:p>
                          <w:p w14:paraId="50288CDA" w14:textId="5A0B3DF5" w:rsidR="006D6AC2" w:rsidRDefault="00000000">
                            <w:pPr>
                              <w:pStyle w:val="P68B1DB1-Normalny2"/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 xml:space="preserve">Priručnik za </w:t>
                            </w:r>
                            <w:r w:rsidR="00053D38">
                              <w:t>NASTAVNIKE U OBRAZOVANJU</w:t>
                            </w:r>
                            <w:r>
                              <w:t xml:space="preserve"> odraslih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474E9" id="Rectangle 8" o:spid="_x0000_s1026" style="position:absolute;margin-left:130.8pt;margin-top:125.4pt;width:338.1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" filled="f" stroked="f">
                <v:textbox inset="2.53958mm,1.2694mm,2.53958mm,1.2694mm">
                  <w:txbxContent>
                    <w:p w14:paraId="0772727E" w14:textId="77777777" w:rsidR="00053D38" w:rsidRDefault="00053D38">
                      <w:pPr>
                        <w:pStyle w:val="P68B1DB1-Normalny1"/>
                        <w:spacing w:line="258" w:lineRule="auto"/>
                        <w:jc w:val="center"/>
                        <w:textDirection w:val="btLr"/>
                      </w:pPr>
                      <w:r>
                        <w:t xml:space="preserve">KOMPETENCIJA </w:t>
                      </w:r>
                      <w:proofErr w:type="spellStart"/>
                      <w:r>
                        <w:t>građanstvA</w:t>
                      </w:r>
                      <w:proofErr w:type="spellEnd"/>
                      <w:r>
                        <w:t xml:space="preserve"> </w:t>
                      </w:r>
                    </w:p>
                    <w:p w14:paraId="4DABBAC2" w14:textId="4ECF72C3" w:rsidR="006D6AC2" w:rsidRDefault="00000000">
                      <w:pPr>
                        <w:pStyle w:val="P68B1DB1-Normalny1"/>
                        <w:spacing w:line="258" w:lineRule="auto"/>
                        <w:jc w:val="center"/>
                        <w:textDirection w:val="btLr"/>
                      </w:pPr>
                      <w:r>
                        <w:t>umjetničke discipline</w:t>
                      </w:r>
                    </w:p>
                    <w:p w14:paraId="50288CDA" w14:textId="5A0B3DF5" w:rsidR="006D6AC2" w:rsidRDefault="00000000">
                      <w:pPr>
                        <w:pStyle w:val="P68B1DB1-Normalny2"/>
                        <w:spacing w:line="258" w:lineRule="auto"/>
                        <w:jc w:val="center"/>
                        <w:textDirection w:val="btLr"/>
                      </w:pPr>
                      <w:r>
                        <w:t xml:space="preserve">Priručnik za </w:t>
                      </w:r>
                      <w:r w:rsidR="00053D38">
                        <w:t>NASTAVNIKE U OBRAZOVANJU</w:t>
                      </w:r>
                      <w:r>
                        <w:t xml:space="preserve"> odraslih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611E0FC" w14:textId="77777777" w:rsidR="006D6AC2" w:rsidRDefault="00000000">
      <w:pPr>
        <w:tabs>
          <w:tab w:val="left" w:pos="90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256023CD" wp14:editId="744A360D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Shap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  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F10A59" w14:textId="79577CCC" w:rsidR="006D6AC2" w:rsidRDefault="00053D38">
      <w:pPr>
        <w:pStyle w:val="P68B1DB1-Heading23"/>
        <w:tabs>
          <w:tab w:val="left" w:pos="5341"/>
        </w:tabs>
        <w:jc w:val="center"/>
      </w:pPr>
      <w:r>
        <w:lastRenderedPageBreak/>
        <w:t xml:space="preserve">RESURSI ZA </w:t>
      </w:r>
      <w:proofErr w:type="spellStart"/>
      <w:r>
        <w:t>mikroučenjE</w:t>
      </w:r>
      <w:proofErr w:type="spellEnd"/>
      <w:r>
        <w:t xml:space="preserve"> za ponovno uključivanje niskokvalificiranih odraslih POLAZNIKA u obrazovanje i osposobljavanje </w:t>
      </w:r>
    </w:p>
    <w:p w14:paraId="50CCC0B5" w14:textId="77777777" w:rsidR="00053D38" w:rsidRDefault="00053D38">
      <w:pPr>
        <w:pStyle w:val="P68B1DB1-Heading24"/>
        <w:tabs>
          <w:tab w:val="left" w:pos="5341"/>
        </w:tabs>
      </w:pPr>
    </w:p>
    <w:p w14:paraId="7826DA43" w14:textId="37113422" w:rsidR="006D6AC2" w:rsidRDefault="00000000">
      <w:pPr>
        <w:pStyle w:val="P68B1DB1-Heading24"/>
        <w:tabs>
          <w:tab w:val="left" w:pos="5341"/>
        </w:tabs>
      </w:pPr>
      <w:r>
        <w:t xml:space="preserve">Priručnik za </w:t>
      </w:r>
      <w:r w:rsidR="00053D38">
        <w:t>nastavnike u obrazovanju</w:t>
      </w:r>
      <w:r>
        <w:t xml:space="preserve"> odraslih </w:t>
      </w:r>
    </w:p>
    <w:p w14:paraId="059025B1" w14:textId="79C3A33E" w:rsidR="006D6AC2" w:rsidRDefault="00053D38">
      <w:pPr>
        <w:pStyle w:val="P68B1DB1-Normalny5"/>
      </w:pPr>
      <w:r>
        <w:t>Nastavni plan</w:t>
      </w:r>
    </w:p>
    <w:p w14:paraId="0602B9C4" w14:textId="4E319AD9" w:rsidR="006D6AC2" w:rsidRDefault="00000000">
      <w:pPr>
        <w:pStyle w:val="P68B1DB1-Normalny5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Cilj ovog kratkog priručnika je podržati vas, kao iskusnog </w:t>
      </w:r>
      <w:r w:rsidR="00053D38">
        <w:rPr>
          <w:color w:val="000000"/>
        </w:rPr>
        <w:t>nastavnika u obrazovanju odraslih</w:t>
      </w:r>
      <w:r>
        <w:rPr>
          <w:color w:val="000000"/>
        </w:rPr>
        <w:t xml:space="preserve"> koji radi s niskokvalificiranim i marginaliziranim odraslim </w:t>
      </w:r>
      <w:r w:rsidR="00053D38">
        <w:rPr>
          <w:color w:val="000000"/>
        </w:rPr>
        <w:t>polaznicima</w:t>
      </w:r>
      <w:r>
        <w:rPr>
          <w:color w:val="000000"/>
        </w:rPr>
        <w:t xml:space="preserve">, s različitim potrebama, da koristite video resurse i </w:t>
      </w:r>
      <w:r w:rsidR="00053D38">
        <w:rPr>
          <w:color w:val="000000"/>
        </w:rPr>
        <w:t>uru</w:t>
      </w:r>
      <w:r w:rsidR="00053D38">
        <w:rPr>
          <w:rFonts w:ascii="Calibri" w:hAnsi="Calibri" w:cs="Calibri"/>
          <w:color w:val="000000"/>
        </w:rPr>
        <w:t>čke</w:t>
      </w:r>
      <w:r>
        <w:rPr>
          <w:color w:val="000000"/>
        </w:rPr>
        <w:t xml:space="preserve"> koji se nalaze u paketu resursa za mikro učenje kako biste ponovno angažirali niskokvalificirane odrasle </w:t>
      </w:r>
      <w:r w:rsidR="00053D38">
        <w:rPr>
          <w:color w:val="000000"/>
        </w:rPr>
        <w:t>polaznike</w:t>
      </w:r>
      <w:r>
        <w:rPr>
          <w:color w:val="000000"/>
        </w:rPr>
        <w:t xml:space="preserve"> u vašem centru i u vašoj zajednici. Kroz ovaj kratki priručnik pružit ćemo vam neke osnovne informacije o temi o kojoj se raspravlja u video resursu i pružiti neke smjernice koje će vam pomoći da uvedete i provedete prateću aktivnost s odraslim </w:t>
      </w:r>
      <w:r w:rsidR="00053D38">
        <w:rPr>
          <w:color w:val="000000"/>
        </w:rPr>
        <w:t>polaznicima</w:t>
      </w:r>
      <w:r>
        <w:rPr>
          <w:color w:val="000000"/>
        </w:rPr>
        <w:t xml:space="preserve"> u vašoj grupi. Aktivnost koja je razvijena kako bi pratila video resurse ima za cilj daljnji razvoj njihovog razumijevanja teme navedene u video resursu. Naposljetku, ovaj će vam priručnik predstaviti i neka  pitanja za informiranje koja možete upotrijebiti u svojoj skupini odraslih polaznika kako biste procijenili jednostavnost korištenja i kvalitetu aktivnosti koju ste s njima dovršili. </w:t>
      </w:r>
    </w:p>
    <w:p w14:paraId="319D4C1A" w14:textId="77777777" w:rsidR="006D6AC2" w:rsidRDefault="00000000">
      <w:pPr>
        <w:pStyle w:val="P68B1DB1-Normalny6"/>
      </w:pPr>
      <w:r>
        <w:t xml:space="preserve">Tema ovog priručnika odnosi se na video resurse: </w:t>
      </w:r>
    </w:p>
    <w:p w14:paraId="7A7D4840" w14:textId="788D49FB" w:rsidR="006D6AC2" w:rsidRDefault="00843097">
      <w:pPr>
        <w:pStyle w:val="P68B1DB1-Normalny7"/>
        <w:rPr>
          <w:i/>
        </w:rPr>
      </w:pPr>
      <w:r>
        <w:t>Kompetencija gra</w:t>
      </w:r>
      <w:r>
        <w:rPr>
          <w:rFonts w:ascii="Calibri" w:hAnsi="Calibri" w:cs="Calibri"/>
        </w:rPr>
        <w:t>đanstva</w:t>
      </w:r>
      <w:r>
        <w:t xml:space="preserve"> – umjetničke discipline</w:t>
      </w:r>
    </w:p>
    <w:p w14:paraId="3349B20B" w14:textId="77777777" w:rsidR="006D6AC2" w:rsidRDefault="006D6AC2">
      <w:pPr>
        <w:rPr>
          <w:rFonts w:ascii="Quattrocento Sans" w:eastAsia="Quattrocento Sans" w:hAnsi="Quattrocento Sans" w:cs="Quattrocento Sans"/>
          <w:i/>
          <w:color w:val="000000"/>
          <w:sz w:val="24"/>
        </w:rPr>
      </w:pPr>
    </w:p>
    <w:p w14:paraId="2D400DF7" w14:textId="77777777" w:rsidR="006D6AC2" w:rsidRDefault="00000000">
      <w:pPr>
        <w:pStyle w:val="P68B1DB1-Heading28"/>
      </w:pPr>
      <w:r>
        <w:t xml:space="preserve">Uvod u temu </w:t>
      </w:r>
    </w:p>
    <w:p w14:paraId="0D647887" w14:textId="77777777" w:rsidR="006D6AC2" w:rsidRDefault="006D6AC2"/>
    <w:p w14:paraId="62708492" w14:textId="39E60A7A" w:rsidR="006D6AC2" w:rsidRDefault="00000000">
      <w:pPr>
        <w:pStyle w:val="P68B1DB1-Normalny5"/>
        <w:spacing w:line="360" w:lineRule="auto"/>
        <w:jc w:val="both"/>
      </w:pPr>
      <w:r>
        <w:t xml:space="preserve">Kretanje zamršenim krajolikom kompetencije </w:t>
      </w:r>
      <w:r w:rsidR="00843097">
        <w:t>gra</w:t>
      </w:r>
      <w:r w:rsidR="00843097">
        <w:rPr>
          <w:rFonts w:ascii="Calibri" w:hAnsi="Calibri" w:cs="Calibri"/>
        </w:rPr>
        <w:t xml:space="preserve">đanstva </w:t>
      </w:r>
      <w:r>
        <w:t xml:space="preserve">kroz prizmu umjetnosti nudi jedinstven i </w:t>
      </w:r>
      <w:proofErr w:type="spellStart"/>
      <w:r>
        <w:t>transformativan</w:t>
      </w:r>
      <w:proofErr w:type="spellEnd"/>
      <w:r>
        <w:t xml:space="preserve"> put za pojedince, posebno one s nižim razinama vještina, da se smisleno angažiraju sa svojim zajednicama i društvom u cjelini. Spoj umjetnosti i građanske kompetencije ne samo da osnažuje pojedince da razviju dublje razumijevanje svojih prava i odgovornosti kao građana, već i otvara vrata kreativnom izražavanju, osobnom rastu i aktivnom sudjelovanju. Za niskokvalificirane odrasle osobe ovaj pristup postaje most prema </w:t>
      </w:r>
      <w:proofErr w:type="spellStart"/>
      <w:r>
        <w:t>inkluzivnijem</w:t>
      </w:r>
      <w:proofErr w:type="spellEnd"/>
      <w:r>
        <w:t xml:space="preserve"> i ispunjenijem iskustvu s građanstvom, omogućujući </w:t>
      </w:r>
      <w:r>
        <w:lastRenderedPageBreak/>
        <w:t>im da doprinose, uče i napreduju na način koji je u skladu s njihovim interesima i sposobnostima.</w:t>
      </w:r>
    </w:p>
    <w:p w14:paraId="119AB15B" w14:textId="77777777" w:rsidR="006D6AC2" w:rsidRDefault="006D6AC2">
      <w:pPr>
        <w:spacing w:line="360" w:lineRule="auto"/>
        <w:rPr>
          <w:rFonts w:ascii="Quattrocento Sans" w:eastAsia="Quattrocento Sans" w:hAnsi="Quattrocento Sans" w:cs="Quattrocento Sans"/>
          <w:sz w:val="24"/>
        </w:rPr>
      </w:pPr>
    </w:p>
    <w:p w14:paraId="76929B24" w14:textId="77777777" w:rsidR="006D6AC2" w:rsidRDefault="00000000">
      <w:pPr>
        <w:pStyle w:val="P68B1DB1-Heading28"/>
      </w:pPr>
      <w:r>
        <w:t xml:space="preserve">Uvod u aktivnost </w:t>
      </w:r>
    </w:p>
    <w:p w14:paraId="71569EEC" w14:textId="77777777" w:rsidR="006D6AC2" w:rsidRDefault="006D6AC2"/>
    <w:p w14:paraId="231BC4D7" w14:textId="77777777" w:rsidR="006D6AC2" w:rsidRDefault="00000000">
      <w:pPr>
        <w:pStyle w:val="P68B1DB1-Normalny5"/>
        <w:spacing w:line="360" w:lineRule="auto"/>
        <w:jc w:val="both"/>
      </w:pPr>
      <w:r>
        <w:t xml:space="preserve">Studija slučaja opisuje osobu koja nije svakodnevno zainteresirana za umjetnost. Uvjerena je da se u području umjetnosti ne mogu naći nikakva pitanja građanske kompetencije. </w:t>
      </w:r>
    </w:p>
    <w:p w14:paraId="7B5B1E61" w14:textId="77777777" w:rsidR="006D6AC2" w:rsidRDefault="00000000">
      <w:pPr>
        <w:pStyle w:val="P68B1DB1-Normalny5"/>
        <w:spacing w:line="360" w:lineRule="auto"/>
        <w:jc w:val="both"/>
      </w:pPr>
      <w:r>
        <w:t>Znamo drugačije i želimo joj to pokazati. Zadatak učenika je navesti različite umjetničke discipline (npr. glazbu, ples) i napisati primjere pitanja vezanih uz građansku kompetenciju u umjetnosti. To će pomoći odraslima da shvate važnost područja umjetnosti i građanske kompetencije te kako se ta područja presijecaju.</w:t>
      </w:r>
    </w:p>
    <w:p w14:paraId="71A96ADE" w14:textId="77777777" w:rsidR="006D6AC2" w:rsidRDefault="006D6AC2">
      <w:pPr>
        <w:rPr>
          <w:rFonts w:ascii="Quattrocento Sans" w:eastAsia="Quattrocento Sans" w:hAnsi="Quattrocento Sans" w:cs="Quattrocento Sans"/>
          <w:sz w:val="24"/>
        </w:rPr>
      </w:pPr>
    </w:p>
    <w:p w14:paraId="0B75BBC4" w14:textId="77777777" w:rsidR="006D6AC2" w:rsidRDefault="00000000">
      <w:pPr>
        <w:pStyle w:val="P68B1DB1-Heading28"/>
      </w:pPr>
      <w:r>
        <w:t xml:space="preserve">Korištenje ovog resursa s grupom </w:t>
      </w:r>
    </w:p>
    <w:p w14:paraId="3EB0FE15" w14:textId="77777777" w:rsidR="006D6AC2" w:rsidRDefault="006D6AC2"/>
    <w:p w14:paraId="27104818" w14:textId="6506D020" w:rsidR="006D6AC2" w:rsidRDefault="00000000">
      <w:pPr>
        <w:pStyle w:val="P68B1DB1-Normalny6"/>
        <w:shd w:val="clear" w:color="auto" w:fill="FFFFFF"/>
        <w:spacing w:after="225" w:line="360" w:lineRule="auto"/>
        <w:jc w:val="both"/>
      </w:pPr>
      <w:r>
        <w:t xml:space="preserve">Da biste koristili ovaj resurs s odraslim </w:t>
      </w:r>
      <w:r w:rsidR="00665357">
        <w:t>polaznicima</w:t>
      </w:r>
      <w:r>
        <w:t xml:space="preserve"> u vašoj lokalnoj grupi, preporučujemo da im počnete pokazivati video resurs kako biste uveli temu Kompetencije građanstva – Umjetničke discipline.</w:t>
      </w:r>
      <w:r>
        <w:rPr>
          <w:i/>
        </w:rPr>
        <w:t xml:space="preserve"> </w:t>
      </w:r>
      <w:r>
        <w:t xml:space="preserve">Ovaj će videozapis pomoći </w:t>
      </w:r>
      <w:r w:rsidR="00665357">
        <w:t xml:space="preserve">polaznicima </w:t>
      </w:r>
      <w:r>
        <w:t xml:space="preserve">da razumiju temu prije nego što započnu aktivnost </w:t>
      </w:r>
      <w:r w:rsidR="00DE4E3F">
        <w:t>Pisani materijali</w:t>
      </w:r>
      <w:r>
        <w:t xml:space="preserve"> za </w:t>
      </w:r>
      <w:r w:rsidR="00665357">
        <w:t>polaznike</w:t>
      </w:r>
      <w:r>
        <w:t xml:space="preserve">. Nakon što steknu opće znanje o temi, moći će započeti </w:t>
      </w:r>
      <w:r w:rsidR="00DE4E3F">
        <w:t>s pisanim materijalima</w:t>
      </w:r>
      <w:r>
        <w:t xml:space="preserve">. Za to preporučujemo da ispišete jedan </w:t>
      </w:r>
      <w:r w:rsidR="00DE4E3F">
        <w:t>pisani materijal</w:t>
      </w:r>
      <w:r>
        <w:t xml:space="preserve"> po </w:t>
      </w:r>
      <w:r w:rsidR="00665357">
        <w:t>polazniku</w:t>
      </w:r>
      <w:r>
        <w:t xml:space="preserve"> kako biste dovršili. Sve što je </w:t>
      </w:r>
      <w:r w:rsidR="00665357">
        <w:t>polaznicima</w:t>
      </w:r>
      <w:r>
        <w:t xml:space="preserve"> potrebno za ovaj resurs je olovka za ispunjavanje </w:t>
      </w:r>
      <w:r w:rsidR="00DE4E3F">
        <w:t>pisanog materijala</w:t>
      </w:r>
      <w:r>
        <w:t xml:space="preserve"> i računalo za gledanje videozapisa. Za dovršetak ovog materijala trebat će vam ukupno jedan sat.</w:t>
      </w:r>
    </w:p>
    <w:p w14:paraId="36AA79BD" w14:textId="77777777" w:rsidR="006D6AC2" w:rsidRDefault="006D6AC2">
      <w:pPr>
        <w:shd w:val="clear" w:color="auto" w:fill="FFFFFF"/>
        <w:spacing w:after="225" w:line="240" w:lineRule="auto"/>
        <w:jc w:val="both"/>
        <w:rPr>
          <w:rFonts w:ascii="Quattrocento Sans" w:eastAsia="Quattrocento Sans" w:hAnsi="Quattrocento Sans" w:cs="Quattrocento Sans"/>
          <w:color w:val="000000"/>
          <w:sz w:val="24"/>
        </w:rPr>
      </w:pPr>
    </w:p>
    <w:p w14:paraId="450D2A44" w14:textId="77777777" w:rsidR="006D6AC2" w:rsidRDefault="00000000">
      <w:pPr>
        <w:pStyle w:val="P68B1DB1-Heading28"/>
        <w:spacing w:line="360" w:lineRule="auto"/>
        <w:jc w:val="both"/>
      </w:pPr>
      <w:r>
        <w:t>Pitanja za informiranje</w:t>
      </w:r>
    </w:p>
    <w:p w14:paraId="251B4E0B" w14:textId="77777777" w:rsidR="006D6AC2" w:rsidRDefault="006D6AC2">
      <w:pPr>
        <w:spacing w:line="360" w:lineRule="auto"/>
        <w:jc w:val="both"/>
      </w:pPr>
    </w:p>
    <w:p w14:paraId="238DBF95" w14:textId="77777777" w:rsidR="006D6AC2" w:rsidRDefault="00000000">
      <w:pPr>
        <w:pStyle w:val="P68B1DB1-Normalny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Što razumijete </w:t>
      </w:r>
      <w:r>
        <w:t>o</w:t>
      </w:r>
      <w:r>
        <w:rPr>
          <w:color w:val="000000"/>
        </w:rPr>
        <w:t xml:space="preserve"> pojmu " građanska kompetencija"?</w:t>
      </w:r>
    </w:p>
    <w:p w14:paraId="0FFB8AD4" w14:textId="77777777" w:rsidR="006D6AC2" w:rsidRDefault="00000000">
      <w:pPr>
        <w:pStyle w:val="P68B1DB1-Normalny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Koja je vaša omiljena umjetnička forma?</w:t>
      </w:r>
    </w:p>
    <w:p w14:paraId="4009965F" w14:textId="77777777" w:rsidR="006D6AC2" w:rsidRDefault="00000000">
      <w:pPr>
        <w:pStyle w:val="P68B1DB1-Normalny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Jeste li se ikada zapitali kakve veze ima umjetnost s građanskom kompetencijom?</w:t>
      </w:r>
    </w:p>
    <w:p w14:paraId="4ADA8C8F" w14:textId="77777777" w:rsidR="006D6AC2" w:rsidRDefault="00000000">
      <w:pPr>
        <w:pStyle w:val="P68B1DB1-Normalny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Je li vam zadatak zanimljiv?</w:t>
      </w:r>
    </w:p>
    <w:p w14:paraId="3D4F1FD1" w14:textId="77777777" w:rsidR="006D6AC2" w:rsidRDefault="00000000">
      <w:pPr>
        <w:pStyle w:val="P68B1DB1-Normalny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5E0894F8" wp14:editId="0A47DEDD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Timelin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  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</w:p>
    <w:sectPr w:rsidR="006D6AC2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027E" w14:textId="77777777" w:rsidR="001F27B0" w:rsidRDefault="001F27B0">
      <w:pPr>
        <w:spacing w:after="0" w:line="240" w:lineRule="auto"/>
      </w:pPr>
      <w:r>
        <w:separator/>
      </w:r>
    </w:p>
  </w:endnote>
  <w:endnote w:type="continuationSeparator" w:id="0">
    <w:p w14:paraId="1264435A" w14:textId="77777777" w:rsidR="001F27B0" w:rsidRDefault="001F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93ED" w14:textId="77777777" w:rsidR="006D6AC2" w:rsidRDefault="006D6A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41A1" w14:textId="77777777" w:rsidR="001F27B0" w:rsidRDefault="001F27B0">
      <w:pPr>
        <w:spacing w:after="0" w:line="240" w:lineRule="auto"/>
      </w:pPr>
      <w:r>
        <w:separator/>
      </w:r>
    </w:p>
  </w:footnote>
  <w:footnote w:type="continuationSeparator" w:id="0">
    <w:p w14:paraId="42DBF78C" w14:textId="77777777" w:rsidR="001F27B0" w:rsidRDefault="001F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5EEF" w14:textId="77777777" w:rsidR="006D6AC2" w:rsidRDefault="006D6A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479B7"/>
    <w:multiLevelType w:val="multilevel"/>
    <w:tmpl w:val="7A8E3D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781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2"/>
    <w:rsid w:val="00053D38"/>
    <w:rsid w:val="001F27B0"/>
    <w:rsid w:val="00343E43"/>
    <w:rsid w:val="00665357"/>
    <w:rsid w:val="006D6AC2"/>
    <w:rsid w:val="007E04CC"/>
    <w:rsid w:val="008205E1"/>
    <w:rsid w:val="00843097"/>
    <w:rsid w:val="00D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3B69"/>
  <w15:docId w15:val="{09B279BF-BCA8-41ED-A9ED-C8E0D643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Header">
    <w:name w:val="header"/>
    <w:basedOn w:val="Normal"/>
    <w:link w:val="Header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E4"/>
  </w:style>
  <w:style w:type="character" w:customStyle="1" w:styleId="Heading1Char">
    <w:name w:val="Heading 1 Char"/>
    <w:basedOn w:val="DefaultParagraphFont"/>
    <w:link w:val="Heading1"/>
    <w:uiPriority w:val="9"/>
    <w:rsid w:val="002B6AE4"/>
    <w:rPr>
      <w:rFonts w:asciiTheme="majorHAnsi" w:eastAsiaTheme="majorEastAsia" w:hAnsiTheme="majorHAnsi" w:cstheme="majorBidi"/>
      <w:color w:val="225C99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42B8"/>
    <w:rPr>
      <w:rFonts w:asciiTheme="majorHAnsi" w:eastAsiaTheme="majorEastAsia" w:hAnsiTheme="majorHAnsi" w:cstheme="majorBidi"/>
      <w:color w:val="FFC000"/>
      <w:sz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P68B1DB1-Normalny1">
    <w:name w:val="P68B1DB1-Normalny1"/>
    <w:basedOn w:val="Normal"/>
    <w:rPr>
      <w:rFonts w:ascii="Bebas Neue" w:eastAsia="Bebas Neue" w:hAnsi="Bebas Neue" w:cs="Bebas Neue"/>
      <w:color w:val="F5B335"/>
      <w:sz w:val="72"/>
    </w:rPr>
  </w:style>
  <w:style w:type="paragraph" w:customStyle="1" w:styleId="P68B1DB1-Normalny2">
    <w:name w:val="P68B1DB1-Normalny2"/>
    <w:basedOn w:val="Normal"/>
    <w:rPr>
      <w:rFonts w:ascii="Bebas Neue" w:eastAsia="Bebas Neue" w:hAnsi="Bebas Neue" w:cs="Bebas Neue"/>
      <w:color w:val="000000"/>
      <w:sz w:val="64"/>
    </w:rPr>
  </w:style>
  <w:style w:type="paragraph" w:customStyle="1" w:styleId="P68B1DB1-Heading23">
    <w:name w:val="P68B1DB1-Heading23"/>
    <w:basedOn w:val="Heading2"/>
    <w:rPr>
      <w:rFonts w:ascii="Bebas Neue" w:eastAsia="Bebas Neue" w:hAnsi="Bebas Neue" w:cs="Bebas Neue"/>
      <w:color w:val="F5B335"/>
      <w:sz w:val="48"/>
    </w:rPr>
  </w:style>
  <w:style w:type="paragraph" w:customStyle="1" w:styleId="P68B1DB1-Heading24">
    <w:name w:val="P68B1DB1-Heading24"/>
    <w:basedOn w:val="Heading2"/>
    <w:rPr>
      <w:rFonts w:ascii="Quattrocento Sans" w:eastAsia="Quattrocento Sans" w:hAnsi="Quattrocento Sans" w:cs="Quattrocento Sans"/>
      <w:b/>
      <w:color w:val="1F2126"/>
      <w:sz w:val="36"/>
    </w:rPr>
  </w:style>
  <w:style w:type="paragraph" w:customStyle="1" w:styleId="P68B1DB1-Normalny5">
    <w:name w:val="P68B1DB1-Normalny5"/>
    <w:basedOn w:val="Normal"/>
    <w:rPr>
      <w:rFonts w:ascii="Quattrocento Sans" w:eastAsia="Quattrocento Sans" w:hAnsi="Quattrocento Sans" w:cs="Quattrocento Sans"/>
      <w:sz w:val="24"/>
    </w:rPr>
  </w:style>
  <w:style w:type="paragraph" w:customStyle="1" w:styleId="P68B1DB1-Normalny6">
    <w:name w:val="P68B1DB1-Normalny6"/>
    <w:basedOn w:val="Normal"/>
    <w:rPr>
      <w:rFonts w:ascii="Quattrocento Sans" w:eastAsia="Quattrocento Sans" w:hAnsi="Quattrocento Sans" w:cs="Quattrocento Sans"/>
      <w:color w:val="000000"/>
      <w:sz w:val="24"/>
    </w:rPr>
  </w:style>
  <w:style w:type="paragraph" w:customStyle="1" w:styleId="P68B1DB1-Normalny7">
    <w:name w:val="P68B1DB1-Normalny7"/>
    <w:basedOn w:val="Normal"/>
    <w:rPr>
      <w:rFonts w:ascii="Quattrocento Sans" w:eastAsia="Quattrocento Sans" w:hAnsi="Quattrocento Sans" w:cs="Quattrocento Sans"/>
      <w:b/>
      <w:color w:val="000000"/>
      <w:sz w:val="24"/>
    </w:rPr>
  </w:style>
  <w:style w:type="paragraph" w:customStyle="1" w:styleId="P68B1DB1-Heading28">
    <w:name w:val="P68B1DB1-Heading28"/>
    <w:basedOn w:val="Heading2"/>
    <w:rPr>
      <w:rFonts w:ascii="Quattrocento Sans" w:eastAsia="Quattrocento Sans" w:hAnsi="Quattrocento Sans" w:cs="Quattrocento Sans"/>
      <w:sz w:val="24"/>
    </w:rPr>
  </w:style>
  <w:style w:type="paragraph" w:customStyle="1" w:styleId="P68B1DB1-Normalny9">
    <w:name w:val="P68B1DB1-Normalny9"/>
    <w:basedOn w:val="Normal"/>
    <w:rPr>
      <w:rFonts w:ascii="Quattrocento Sans" w:eastAsia="Quattrocento Sans" w:hAnsi="Quattrocento Sans" w:cs="Quattrocento Sans"/>
      <w:color w:val="000000"/>
      <w:sz w:val="24"/>
    </w:rPr>
  </w:style>
  <w:style w:type="paragraph" w:customStyle="1" w:styleId="P68B1DB1-Normalny10">
    <w:name w:val="P68B1DB1-Normalny10"/>
    <w:basedOn w:val="Normal"/>
    <w:rPr>
      <w:rFonts w:ascii="Source Sans Pro" w:eastAsia="Source Sans Pro" w:hAnsi="Source Sans Pro" w:cs="Source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1gbfgjzZlyDKCSZcwYRbksVcQ==">CgMxLjA4AHIhMXI0OWZqdTM4NWFqSlQ1VjFhMjdueTlHVXZZbGNfN2ZR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Dante</cp:lastModifiedBy>
  <cp:revision>3</cp:revision>
  <dcterms:created xsi:type="dcterms:W3CDTF">2023-12-19T12:34:00Z</dcterms:created>
  <dcterms:modified xsi:type="dcterms:W3CDTF">2023-12-19T12:43:00Z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