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&lt;Obszar kompetencji i temat przekrojowy&gt;</w:t>
                            </w:r>
                          </w:p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Plan lekcji</w:t>
      </w:r>
    </w:p>
    <w:p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ich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6"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tego podręcznika odnosi się do zasobów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dyscyplin artystycznych (świadomość kulturowa i kompetencje w zakresie ekspresji).</w:t>
      </w:r>
    </w:p>
    <w:p w:rsidRPr="00000000" w:rsidR="00000000" w:rsidDel="00000000" w:rsidP="00000000" w:rsidRDefault="00000000" w14:paraId="00000008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Dyscypliny artystyczne obejmują szeroki zakres dziedzin kreatywnych, z których każda ma swój własny, unikalny styl, techniki i tradycje. Dyscypliny te są istotne nie tylko ze względu na ich wartość estetyczną, ale także ze względu na ich znaczenie kulturowe. Służą jako środek wyrazu, komunikacji i refleksji, odzwierciedlając różnorodne doświadczenia, przekonania i wartości społeczeństw i jednostek.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Świadomość kulturowa i kompetencje w zakresie ekspresji odnoszą się do zdolności rozumienia i doceniania znaczenia dyscyplin artystycznych w różnych kulturach, a także umiejętności skutecznego przekazywania pomysłów, emocji i doświadczeń poprzez sztukę. Rozwijanie tych kompetencji wymaga zrozumienia historycznego i kulturowego kontekstu różnych dyscyplin artystycznych, a także docenienia różnorodnych perspektyw i doświadczeń, które kształtują ekspresję artystyczną.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 tym kontekście odkrywanie dyscyplin artystycznych może pomóc jednostkom rozwinąć głębsze zrozumienie i docenienie różnorodności kulturowej, jednocześnie wspierając ich zdolności twórcze i umiejętności krytycznego myślenia. Od malarstwa i rzeźby po muzykę i taniec, każda dyscyplina artystyczna oferuje unikalny sposób wyrażania siebie i angażowania się w otaczający nas świat.</w:t>
      </w:r>
    </w:p>
    <w:p w:rsidRPr="00000000" w:rsidR="00000000" w:rsidDel="00000000" w:rsidP="00000000" w:rsidRDefault="00000000" w14:paraId="0000000D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 materiałach dla uczących się, dorośli uczniowie mają wyjątkową okazję, aby zagłębić się w studium przypadku innowacyjnego projektu "Eadrainn / Between Us" w Irlandii i Szkocji i odkryć, w jaki sposób pomógł on dorosłym rozwinąć ich świadomość kulturową i umiejętności ekspresji poprzez taniec. Uczniowie mają również możliwość zaangażowania się w zabawne i interaktywne zajęcia "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Kultura w kolażu: Tworzenie tożsamości wizualnej", podczas którego dowiedzą się, jak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stworzyć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kolaż na temat tego, co ich zdaniem reprezentuje ich tożsamość kulturową, a także staną się bardziej świadomi kulturowo i ekspresyjni w tym procesie.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 Dzięki temu możesz zainspirować uczniów do odkrycia, jak nawet najbardziej nieprawdopodobne działania mogą prowadzić do znacznej poprawy ich świadomości kulturowej i umiejętności ekspresji.</w:t>
      </w: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Dyscyplin artystycznych (świadomość kulturowa i kompetencje w zakresie ekspresji).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uczestnikom zrozumieć temat przed rozpoczęciem ćwiczenia z materiałami dla uczestników.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Oto kilka potencjalnych pytań podsumowujących, nad którymi uczestnicy mogą się zastanowić po zakończeniu przypadku i ćwiczenia: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 najbardziej zaskoczyło Cię w projekcie "Eadrainn / Between Us" w Irlandii/Szkocji?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projekt "Eadrainn / Between Us" wykroczył poza zwykłe nauczanie świadomości kulturowej i umiejętności ekspresji?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 jest jeden kluczowy wniosek, który wyniesiesz z tego studium przypadku i ćwiczenia? Jak zastosujesz je we własnym życiu lub pracy?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Jakie były Twoje doświadczenia podczas zajęć "Kultura w kolażu: Tworzenie tożsamości wizualnej"? Czy uznałeś je za pomocne w poprawie świadomości kulturowej i kompetencji w zakresie wyrażania opinii?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można włączyć dyscypliny artystyczne do programów edukacyjnych lub szkoleniowych dla nisko wykwalifikowanych dorosłych, aby poprawić ich świadomość kulturową i umiejętności ekspresji?</w:t>
      </w:r>
    </w:p>
    <w:p w:rsidRPr="00000000" w:rsidR="00000000" w:rsidDel="00000000" w:rsidP="00000000" w:rsidRDefault="00000000" w14:paraId="00000019">
      <w:pPr>
        <w:rPr/>
      </w:pP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C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B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AE4"/>
  </w:style>
  <w:style w:type="character" w:styleId="Heading1Char" w:customStyle="1">
    <w:name w:val="Heading 1 Char"/>
    <w:basedOn w:val="DefaultParagraphFont"/>
    <w:link w:val="Heading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 w:val="1"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tnhDvE2cxOs/pIHzK+m9Pcxlw==">CgMxLjA4AHIhMWFSYXVXVlpjMVZUaGx6QmE5SVZ6YnVZWUFrbjJ0SEsw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2023-06-01T16:18:00.0000000Z</dcterms:created>
  <dc:creator>Gary</dc:creator>
  <keywords>, docId:E16D4AE1747032F10D5E354C8FE902B9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