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115107"/>
                <wp:effectExtent b="0" l="0" r="0" t="0"/>
                <wp:wrapSquare wrapText="bothSides" distB="45720" distT="45720" distL="114300" distR="114300"/>
                <wp:docPr id="11" name=""/>
                <a:graphic>
                  <a:graphicData uri="http://schemas.microsoft.com/office/word/2010/wordprocessingShape">
                    <wps:wsp>
                      <wps:cNvSpPr/>
                      <wps:cNvPr id="2" name="Shape 2"/>
                      <wps:spPr>
                        <a:xfrm>
                          <a:off x="2387475" y="2484600"/>
                          <a:ext cx="4971600" cy="25908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Daugiakalbystė</w:t>
                            </w:r>
                            <w:r w:rsidDel="00000000" w:rsidR="00000000" w:rsidRPr="00000000">
                              <w:rPr>
                                <w:rFonts w:ascii="Bebas Neue" w:cs="Bebas Neue" w:eastAsia="Bebas Neue" w:hAnsi="Bebas Neue"/>
                                <w:b w:val="0"/>
                                <w:i w:val="0"/>
                                <w:smallCaps w:val="0"/>
                                <w:strike w:val="0"/>
                                <w:color w:val="f5b335"/>
                                <w:sz w:val="72"/>
                                <w:vertAlign w:val="baseline"/>
                              </w:rPr>
                              <w:br w:type="textWrapping"/>
                            </w:r>
                            <w:r w:rsidDel="00000000" w:rsidR="00000000" w:rsidRPr="00000000">
                              <w:rPr>
                                <w:rFonts w:ascii="Bebas Neue" w:cs="Bebas Neue" w:eastAsia="Bebas Neue" w:hAnsi="Bebas Neue"/>
                                <w:b w:val="0"/>
                                <w:i w:val="0"/>
                                <w:smallCaps w:val="0"/>
                                <w:strike w:val="0"/>
                                <w:color w:val="f5b335"/>
                                <w:sz w:val="72"/>
                                <w:vertAlign w:val="baseline"/>
                              </w:rPr>
                              <w:t xml:space="preserve"> </w:t>
                            </w:r>
                            <w:r w:rsidDel="00000000" w:rsidR="00000000" w:rsidRPr="00000000">
                              <w:rPr>
                                <w:rFonts w:ascii="Bebas Neue" w:cs="Bebas Neue" w:eastAsia="Bebas Neue" w:hAnsi="Bebas Neue"/>
                                <w:b w:val="0"/>
                                <w:i w:val="0"/>
                                <w:smallCaps w:val="0"/>
                                <w:strike w:val="0"/>
                                <w:color w:val="f5b335"/>
                                <w:sz w:val="72"/>
                                <w:vertAlign w:val="baseline"/>
                              </w:rPr>
                              <w:t xml:space="preserve">skaitmeninė</w:t>
                            </w:r>
                            <w:r w:rsidDel="00000000" w:rsidR="00000000" w:rsidRPr="00000000">
                              <w:rPr>
                                <w:rFonts w:ascii="Bebas Neue" w:cs="Bebas Neue" w:eastAsia="Bebas Neue" w:hAnsi="Bebas Neue"/>
                                <w:b w:val="0"/>
                                <w:i w:val="0"/>
                                <w:smallCaps w:val="0"/>
                                <w:strike w:val="0"/>
                                <w:color w:val="f5b335"/>
                                <w:sz w:val="72"/>
                                <w:vertAlign w:val="baseline"/>
                              </w:rPr>
                              <w:t xml:space="preserve"> </w:t>
                            </w:r>
                            <w:r w:rsidDel="00000000" w:rsidR="00000000" w:rsidRPr="00000000">
                              <w:rPr>
                                <w:rFonts w:ascii="Bebas Neue" w:cs="Bebas Neue" w:eastAsia="Bebas Neue" w:hAnsi="Bebas Neue"/>
                                <w:b w:val="0"/>
                                <w:i w:val="0"/>
                                <w:smallCaps w:val="0"/>
                                <w:strike w:val="0"/>
                                <w:color w:val="f5b335"/>
                                <w:sz w:val="72"/>
                                <w:vertAlign w:val="baseline"/>
                              </w:rPr>
                              <w:t xml:space="preserve">ir</w:t>
                            </w:r>
                            <w:r w:rsidDel="00000000" w:rsidR="00000000" w:rsidRPr="00000000">
                              <w:rPr>
                                <w:rFonts w:ascii="Bebas Neue" w:cs="Bebas Neue" w:eastAsia="Bebas Neue" w:hAnsi="Bebas Neue"/>
                                <w:b w:val="0"/>
                                <w:i w:val="0"/>
                                <w:smallCaps w:val="0"/>
                                <w:strike w:val="0"/>
                                <w:color w:val="f5b335"/>
                                <w:sz w:val="72"/>
                                <w:vertAlign w:val="baseline"/>
                              </w:rPr>
                              <w:t xml:space="preserve"> socialinė sritys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115107"/>
                <wp:effectExtent b="0" l="0" r="0" t="0"/>
                <wp:wrapSquare wrapText="bothSides" distB="45720" distT="45720" distL="114300" distR="11430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44950" cy="2115107"/>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1.png"/>
            <a:graphic>
              <a:graphicData uri="http://schemas.openxmlformats.org/drawingml/2006/picture">
                <pic:pic>
                  <pic:nvPicPr>
                    <pic:cNvPr descr="Shape&#10;&#10;Description automatically generated" id="0" name="image1.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2"/>
          <w:szCs w:val="2"/>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8">
      <w:pPr>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vaizdo įrašų ištekliais</w:t>
      </w: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i w:val="1"/>
          <w:sz w:val="24"/>
          <w:szCs w:val="24"/>
          <w:rtl w:val="0"/>
        </w:rPr>
        <w:t xml:space="preserve">Daugiakalbystės kompetencija ir skaitmeninė bei socialinė sritys.</w:t>
      </w:r>
    </w:p>
    <w:p w:rsidR="00000000" w:rsidDel="00000000" w:rsidP="00000000" w:rsidRDefault="00000000" w:rsidRPr="00000000" w14:paraId="00000009">
      <w:pPr>
        <w:rPr>
          <w:rFonts w:ascii="Quattrocento Sans" w:cs="Quattrocento Sans" w:eastAsia="Quattrocento Sans" w:hAnsi="Quattrocento Sans"/>
          <w:b w:val="1"/>
          <w:i w:val="1"/>
          <w:sz w:val="14"/>
          <w:szCs w:val="14"/>
        </w:rPr>
      </w:pPr>
      <w:r w:rsidDel="00000000" w:rsidR="00000000" w:rsidRPr="00000000">
        <w:rPr>
          <w:rtl w:val="0"/>
        </w:rPr>
      </w:r>
    </w:p>
    <w:p w:rsidR="00000000" w:rsidDel="00000000" w:rsidP="00000000" w:rsidRDefault="00000000" w:rsidRPr="00000000" w14:paraId="0000000A">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spacing w:line="240" w:lineRule="auto"/>
        <w:rPr>
          <w:sz w:val="8"/>
          <w:szCs w:val="8"/>
        </w:rPr>
      </w:pP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Šioje medžiagoje gilinsimės į intriguojančią skaitmeninės žiniasklaidos ir tarpkultūrinio bendravimo sritį. Mūsų dalyviai įgis praktinių žinių apie skaitmeninės žiniasklaidos globalią prigimtį ir jos poveikį suaugusiųjų besimokančiųjų visuomenei. Nagrinėsime, kaip daugiakalbė komunikacija ir tarptautiškumas veikia skaitmeninės žiniasklaidos įpročius ir taisykles. Be to, vaizdo įrašas suteiks mokiniams gebėjimų kurti, kuruoti ir skleisti daugialypės terpės medžiagą, skatinant pasaulinį bendravimą ir supratimą. Pasibaigus šiam moduliui, jūsų mokiniai vertins įtrauktį ir įvairovę, supras, kaip vertinga skaitmeninės žiniasklaidos kanalais susipažinti su kitokiomis perspektyvomis ir grupėmis.</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4"/>
          <w:szCs w:val="24"/>
          <w:rtl w:val="0"/>
        </w:rPr>
        <w:t xml:space="preserve">Įvadas į veiklą </w:t>
        <w:br w:type="textWrapping"/>
      </w:r>
      <w:r w:rsidDel="00000000" w:rsidR="00000000" w:rsidRPr="00000000">
        <w:rPr>
          <w:rtl w:val="0"/>
        </w:rPr>
      </w:r>
    </w:p>
    <w:p w:rsidR="00000000" w:rsidDel="00000000" w:rsidP="00000000" w:rsidRDefault="00000000" w:rsidRPr="00000000" w14:paraId="0000000F">
      <w:pPr>
        <w:spacing w:line="360" w:lineRule="auto"/>
        <w:jc w:val="both"/>
        <w:rPr>
          <w:rFonts w:ascii="Quattrocento Sans" w:cs="Quattrocento Sans" w:eastAsia="Quattrocento Sans" w:hAnsi="Quattrocento Sans"/>
          <w:sz w:val="14"/>
          <w:szCs w:val="14"/>
        </w:rPr>
      </w:pPr>
      <w:r w:rsidDel="00000000" w:rsidR="00000000" w:rsidRPr="00000000">
        <w:rPr>
          <w:rFonts w:ascii="Quattrocento Sans" w:cs="Quattrocento Sans" w:eastAsia="Quattrocento Sans" w:hAnsi="Quattrocento Sans"/>
          <w:sz w:val="24"/>
          <w:szCs w:val="24"/>
          <w:rtl w:val="0"/>
        </w:rPr>
        <w:t xml:space="preserve">Veiklą sudaro atvejo analizė, pagrįsta realaus gyvenimo scenarijumi, kuriame besimokantieji panaudoja savo žinias apie skaitmeninę žiniasklaidą ir tarpkultūrinį bendravimą. Naudodamiesi skaitmeninės žiniasklaidos priemonėmis ir technikomis jie sukurs daugiaformatį turinį, skatinantį įtrauktį ir jungiantį kultūras. Ši užduotis leis besimokantiesiems praktiškai pritaikyti vaizdo medžiagoje nagrinėjamus principus, ugdant kritinį mąstymą.</w:t>
        <w:br w:type="textWrapping"/>
      </w:r>
      <w:r w:rsidDel="00000000" w:rsidR="00000000" w:rsidRPr="00000000">
        <w:rPr>
          <w:rtl w:val="0"/>
        </w:rPr>
      </w:r>
    </w:p>
    <w:p w:rsidR="00000000" w:rsidDel="00000000" w:rsidP="00000000" w:rsidRDefault="00000000" w:rsidRPr="00000000" w14:paraId="00000010">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 </w:t>
      </w:r>
    </w:p>
    <w:p w:rsidR="00000000" w:rsidDel="00000000" w:rsidP="00000000" w:rsidRDefault="00000000" w:rsidRPr="00000000" w14:paraId="00000011">
      <w:pPr>
        <w:rPr>
          <w:sz w:val="6"/>
          <w:szCs w:val="6"/>
        </w:rPr>
      </w:pPr>
      <w:r w:rsidDel="00000000" w:rsidR="00000000" w:rsidRPr="00000000">
        <w:rPr>
          <w:rtl w:val="0"/>
        </w:rPr>
      </w:r>
    </w:p>
    <w:p w:rsidR="00000000" w:rsidDel="00000000" w:rsidP="00000000" w:rsidRDefault="00000000" w:rsidRPr="00000000" w14:paraId="00000012">
      <w:pPr>
        <w:shd w:fill="ffffff" w:val="clear"/>
        <w:spacing w:after="225" w:line="360" w:lineRule="auto"/>
        <w:jc w:val="both"/>
        <w:rPr>
          <w:rFonts w:ascii="Quattrocento Sans" w:cs="Quattrocento Sans" w:eastAsia="Quattrocento Sans" w:hAnsi="Quattrocento Sans"/>
          <w:sz w:val="4"/>
          <w:szCs w:val="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b w:val="1"/>
          <w:sz w:val="24"/>
          <w:szCs w:val="24"/>
          <w:rtl w:val="0"/>
        </w:rPr>
        <w:t xml:space="preserve">Skaitmeninė žiniasklaida ir daugiakalbystės kompetencija</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r>
      <w:r w:rsidDel="00000000" w:rsidR="00000000" w:rsidRPr="00000000">
        <w:rPr>
          <w:rtl w:val="0"/>
        </w:rPr>
      </w:r>
    </w:p>
    <w:p w:rsidR="00000000" w:rsidDel="00000000" w:rsidP="00000000" w:rsidRDefault="00000000" w:rsidRPr="00000000" w14:paraId="00000013">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Apibendrinimo klausimai</w:t>
      </w:r>
    </w:p>
    <w:p w:rsidR="00000000" w:rsidDel="00000000" w:rsidP="00000000" w:rsidRDefault="00000000" w:rsidRPr="00000000" w14:paraId="00000014">
      <w:pPr>
        <w:rPr>
          <w:sz w:val="4"/>
          <w:szCs w:val="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manote, kokį vaidmenį skaitmeninė žiniasklaida gali atlikti skatinant tarpkultūrinį supratimą ir įtrauktį?</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Su kokiais sunkumais susidūrėte dirbdami su įvairių medijų turinio kūrimo veikla ir kaip juos įveikėte?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Kokią įtaką ši mokymosi patirtis turėjo jūsų supratimui apie globalų skaitmeninės žiniasklaidos prigimtį ir tarpkultūrinio bendravimo svarbą?</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tai, ką sužinojote iš šio šaltinio, galite pritaikyti savo asmeniniame ar profesiniame gyvenime?</w:t>
        <w:br w:type="textWrapp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Pateikite pavyzdį, kaip skaitmeninės žiniasklaidos metodų įvairovės taikymas gali turėti teigiamą socialinį poveikį.</w:t>
      </w:r>
    </w:p>
    <w:p w:rsidR="00000000" w:rsidDel="00000000" w:rsidP="00000000" w:rsidRDefault="00000000" w:rsidRPr="00000000" w14:paraId="0000001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Naudodamiesi šiuo vadovu švietėjui ir pridedama vaizdo medžiaga suteiksite galimybę mažiau įgūdžių turintiems suaugusiems drąsiai naudotis skaitmenine erdve, skatinsite supratimą ir įtrauktį bendraujant ir prisidėsite prie tarpusavyje glaudžiau susijusio pasaulio kūrimo.</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Šaltiniai</w:t>
      </w:r>
      <w:r w:rsidDel="00000000" w:rsidR="00000000" w:rsidRPr="00000000">
        <w:rPr>
          <w:rFonts w:ascii="Quattrocento Sans" w:cs="Quattrocento Sans" w:eastAsia="Quattrocento Sans" w:hAnsi="Quattrocento Sans"/>
          <w:color w:val="000000"/>
          <w:sz w:val="24"/>
          <w:szCs w:val="24"/>
          <w:rtl w:val="0"/>
        </w:rPr>
        <w:t xml:space="preserve">:</w:t>
      </w:r>
    </w:p>
    <w:p w:rsidR="00000000" w:rsidDel="00000000" w:rsidP="00000000" w:rsidRDefault="00000000" w:rsidRPr="00000000" w14:paraId="0000001E">
      <w:pPr>
        <w:rPr>
          <w:sz w:val="24"/>
          <w:szCs w:val="24"/>
        </w:rPr>
      </w:pPr>
      <w:r w:rsidDel="00000000" w:rsidR="00000000" w:rsidRPr="00000000">
        <w:rPr>
          <w:sz w:val="24"/>
          <w:szCs w:val="24"/>
          <w:rtl w:val="0"/>
        </w:rPr>
        <w:t xml:space="preserve">Integrating Social Factors into Cross-cultural Medical Education</w:t>
      </w:r>
    </w:p>
    <w:p w:rsidR="00000000" w:rsidDel="00000000" w:rsidP="00000000" w:rsidRDefault="00000000" w:rsidRPr="00000000" w14:paraId="0000001F">
      <w:pPr>
        <w:rPr/>
      </w:pPr>
      <w:hyperlink r:id="rId9">
        <w:r w:rsidDel="00000000" w:rsidR="00000000" w:rsidRPr="00000000">
          <w:rPr>
            <w:color w:val="0563c1"/>
            <w:u w:val="single"/>
            <w:rtl w:val="0"/>
          </w:rPr>
          <w:t xml:space="preserve">https://journals.lww.com/academicmedicine/Fulltext/2002/03000/Integrating_Social_Factors_into_Cross_cultural.3.aspx</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Green, Alexander R. MD; Betancourt, Joseph R. MD, MPH; Carrillo, J. Emilio MD, MPH</w:t>
      </w:r>
    </w:p>
    <w:p w:rsidR="00000000" w:rsidDel="00000000" w:rsidP="00000000" w:rsidRDefault="00000000" w:rsidRPr="00000000" w14:paraId="00000021">
      <w:pPr>
        <w:rPr/>
      </w:pPr>
      <w:r w:rsidDel="00000000" w:rsidR="00000000" w:rsidRPr="00000000">
        <w:rPr>
          <w:rtl w:val="0"/>
        </w:rPr>
        <w:t xml:space="preserve">Academic Medicine 77(3):p 193-197, March 2002.</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sz w:val="24"/>
          <w:szCs w:val="24"/>
          <w:rtl w:val="0"/>
        </w:rPr>
        <w:t xml:space="preserve">Research Anthology on Adult Education and the Development of Lifelong Learners</w:t>
      </w:r>
      <w:r w:rsidDel="00000000" w:rsidR="00000000" w:rsidRPr="00000000">
        <w:rPr>
          <w:rtl w:val="0"/>
        </w:rPr>
      </w:r>
    </w:p>
    <w:p w:rsidR="00000000" w:rsidDel="00000000" w:rsidP="00000000" w:rsidRDefault="00000000" w:rsidRPr="00000000" w14:paraId="00000024">
      <w:pPr>
        <w:rPr/>
      </w:pPr>
      <w:hyperlink r:id="rId10">
        <w:r w:rsidDel="00000000" w:rsidR="00000000" w:rsidRPr="00000000">
          <w:rPr>
            <w:color w:val="0563c1"/>
            <w:u w:val="single"/>
            <w:rtl w:val="0"/>
          </w:rPr>
          <w:t xml:space="preserve">https://www.igi-global.com/chapter/adult-learner-characteristics-important-for-successful-learning-in-cross-cultural-web-based-learning-environments-in-higher-education/279739</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Joseph George M. Lutta Copyright: © 2021</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Multilingualism on the internet </w:t>
        <w:br w:type="textWrapping"/>
      </w:r>
      <w:hyperlink r:id="rId11">
        <w:r w:rsidDel="00000000" w:rsidR="00000000" w:rsidRPr="00000000">
          <w:rPr>
            <w:color w:val="0563c1"/>
            <w:u w:val="single"/>
            <w:rtl w:val="0"/>
          </w:rPr>
          <w:t xml:space="preserve">https://www.academia.edu/download/13686668/Ch_22_-_Leppanen_-_Peuronen__pre-print.pdf</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In Martin-Jones, M., Blackledge A., and Creese Angela. (Forthcoming in 2012).</w:t>
        <w:br w:type="textWrapping"/>
        <w:t xml:space="preserve">The Routledge Handbook of Multilingualism. London and New York: Routledge.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4" name="image2.png"/>
            <a:graphic>
              <a:graphicData uri="http://schemas.openxmlformats.org/drawingml/2006/picture">
                <pic:pic>
                  <pic:nvPicPr>
                    <pic:cNvPr descr="Timeline&#10;&#10;Description automatically generated" id="0" name="image2.png"/>
                    <pic:cNvPicPr preferRelativeResize="0"/>
                  </pic:nvPicPr>
                  <pic:blipFill>
                    <a:blip r:embed="rId12"/>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7267575</wp:posOffset>
                </wp:positionV>
                <wp:extent cx="3486150" cy="1257300"/>
                <wp:effectExtent b="0" l="0" r="0" t="0"/>
                <wp:wrapNone/>
                <wp:docPr id="12"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7267575</wp:posOffset>
                </wp:positionV>
                <wp:extent cx="3486150" cy="1257300"/>
                <wp:effectExtent b="0" l="0" r="0" t="0"/>
                <wp:wrapNone/>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7572375</wp:posOffset>
            </wp:positionV>
            <wp:extent cx="3000375" cy="648010"/>
            <wp:effectExtent b="0" l="0" r="0" t="0"/>
            <wp:wrapNone/>
            <wp:docPr id="15"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000375" cy="648010"/>
                    </a:xfrm>
                    <a:prstGeom prst="rect"/>
                    <a:ln/>
                  </pic:spPr>
                </pic:pic>
              </a:graphicData>
            </a:graphic>
          </wp:anchor>
        </w:drawing>
      </w:r>
    </w:p>
    <w:sectPr>
      <w:headerReference r:id="rId15" w:type="first"/>
      <w:footerReference r:id="rId16"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A3450"/>
    <w:rPr>
      <w:color w:val="0563c1" w:themeColor="hyperlink"/>
      <w:u w:val="single"/>
    </w:rPr>
  </w:style>
  <w:style w:type="character" w:styleId="UnresolvedMention">
    <w:name w:val="Unresolved Mention"/>
    <w:basedOn w:val="DefaultParagraphFont"/>
    <w:uiPriority w:val="99"/>
    <w:semiHidden w:val="1"/>
    <w:unhideWhenUsed w:val="1"/>
    <w:rsid w:val="003A345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ademia.edu/download/13686668/Ch_22_-_Leppanen_-_Peuronen__pre-print.pdf" TargetMode="External"/><Relationship Id="rId10" Type="http://schemas.openxmlformats.org/officeDocument/2006/relationships/hyperlink" Target="https://www.igi-global.com/chapter/adult-learner-characteristics-important-for-successful-learning-in-cross-cultural-web-based-learning-environments-in-higher-education/279739" TargetMode="External"/><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urnals.lww.com/academicmedicine/Fulltext/2002/03000/Integrating_Social_Factors_into_Cross_cultural.3.aspx" TargetMode="External"/><Relationship Id="rId15" Type="http://schemas.openxmlformats.org/officeDocument/2006/relationships/header" Target="header1.xml"/><Relationship Id="rId14" Type="http://schemas.openxmlformats.org/officeDocument/2006/relationships/image" Target="media/image3.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H+5w+fCYuIJQRX3yRnB/ILOqw==">CgMxLjA4AHIhMXI4T2wzWWJnamt5SDROY1c5WERNLXlDeWdINHF6Y2N0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2023-08-03T09:21:00Z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