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spacing w:line="360" w:lineRule="auto"/>
        <w:rPr/>
      </w:pPr>
      <w:r w:rsidDel="00000000" w:rsidR="00000000" w:rsidRPr="00000000">
        <w:rPr/>
        <w:drawing>
          <wp:anchor allowOverlap="1" behindDoc="0" distB="0" distT="0" distL="114300" distR="114300" hidden="0" layoutInCell="1" locked="0" relativeHeight="0" simplePos="0">
            <wp:simplePos x="0" y="0"/>
            <wp:positionH relativeFrom="margin">
              <wp:posOffset>-932810</wp:posOffset>
            </wp:positionH>
            <wp:positionV relativeFrom="margin">
              <wp:posOffset>-953767</wp:posOffset>
            </wp:positionV>
            <wp:extent cx="7625715" cy="10782300"/>
            <wp:effectExtent b="0" l="0" r="0" t="0"/>
            <wp:wrapSquare wrapText="bothSides" distB="0" distT="0" distL="114300" distR="114300"/>
            <wp:docPr descr="Shape&#10;&#10;Description automatically generated" id="13" name="image3.png"/>
            <a:graphic>
              <a:graphicData uri="http://schemas.openxmlformats.org/drawingml/2006/picture">
                <pic:pic>
                  <pic:nvPicPr>
                    <pic:cNvPr descr="Shape&#10;&#10;Description automatically generated" id="0" name="image3.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54475" cy="1433195"/>
                <wp:effectExtent b="0" l="0" r="0" t="0"/>
                <wp:wrapSquare wrapText="bothSides" distB="45720" distT="45720" distL="114300" distR="114300"/>
                <wp:docPr id="12"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Sports and hobbies (MATHEMATICAL (STEM) COMPETENCE)</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54475" cy="1433195"/>
                <wp:effectExtent b="0" l="0" r="0" t="0"/>
                <wp:wrapSquare wrapText="bothSides" distB="45720" distT="45720" distL="114300" distR="114300"/>
                <wp:docPr id="1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54475" cy="1433195"/>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360" w:lineRule="auto"/>
        <w:rPr>
          <w:rFonts w:ascii="Bebas Neue" w:cs="Bebas Neue" w:eastAsia="Bebas Neue" w:hAnsi="Bebas Neue"/>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p>
    <w:p w:rsidR="00000000" w:rsidDel="00000000" w:rsidP="00000000" w:rsidRDefault="00000000" w:rsidRPr="00000000" w14:paraId="00000005">
      <w:pPr>
        <w:rPr>
          <w:rFonts w:ascii="Bebas Neue" w:cs="Bebas Neue" w:eastAsia="Bebas Neue" w:hAnsi="Bebas Neue"/>
          <w:color w:val="1f2126"/>
          <w:sz w:val="36"/>
          <w:szCs w:val="36"/>
        </w:rPr>
      </w:pPr>
      <w:r w:rsidDel="00000000" w:rsidR="00000000" w:rsidRPr="00000000">
        <w:rPr>
          <w:rFonts w:ascii="Quattrocento Sans" w:cs="Quattrocento Sans" w:eastAsia="Quattrocento Sans" w:hAnsi="Quattrocento Sans"/>
          <w:sz w:val="24"/>
          <w:szCs w:val="24"/>
          <w:rtl w:val="0"/>
        </w:rPr>
        <w:t xml:space="preserve">Pamokos planas</w:t>
      </w:r>
      <w:r w:rsidDel="00000000" w:rsidR="00000000" w:rsidRPr="00000000">
        <w:rPr>
          <w:rtl w:val="0"/>
        </w:rPr>
      </w:r>
    </w:p>
    <w:p w:rsidR="00000000" w:rsidDel="00000000" w:rsidP="00000000" w:rsidRDefault="00000000" w:rsidRPr="00000000" w14:paraId="00000006">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7">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8">
      <w:pPr>
        <w:spacing w:line="259.20000000000005" w:lineRule="auto"/>
        <w:rPr>
          <w:i w:val="1"/>
          <w:sz w:val="24"/>
          <w:szCs w:val="24"/>
        </w:rPr>
      </w:pPr>
      <w:r w:rsidDel="00000000" w:rsidR="00000000" w:rsidRPr="00000000">
        <w:rPr>
          <w:rFonts w:ascii="Quattrocento Sans" w:cs="Quattrocento Sans" w:eastAsia="Quattrocento Sans" w:hAnsi="Quattrocento Sans"/>
          <w:b w:val="1"/>
          <w:sz w:val="24"/>
          <w:szCs w:val="24"/>
          <w:rtl w:val="0"/>
        </w:rPr>
        <w:t xml:space="preserve">Matematinės kompetencijos ugdymas per sportą ir pomėgius</w:t>
      </w:r>
      <w:r w:rsidDel="00000000" w:rsidR="00000000" w:rsidRPr="00000000">
        <w:rPr>
          <w:rtl w:val="0"/>
        </w:rPr>
      </w:r>
    </w:p>
    <w:p w:rsidR="00000000" w:rsidDel="00000000" w:rsidP="00000000" w:rsidRDefault="00000000" w:rsidRPr="00000000" w14:paraId="00000009">
      <w:pPr>
        <w:spacing w:line="360" w:lineRule="auto"/>
        <w:rPr>
          <w:rFonts w:ascii="Quattrocento Sans" w:cs="Quattrocento Sans" w:eastAsia="Quattrocento Sans" w:hAnsi="Quattrocento Sans"/>
          <w:i w:val="1"/>
          <w:color w:val="000000"/>
          <w:sz w:val="8"/>
          <w:szCs w:val="8"/>
        </w:rPr>
      </w:pPr>
      <w:r w:rsidDel="00000000" w:rsidR="00000000" w:rsidRPr="00000000">
        <w:rPr>
          <w:rtl w:val="0"/>
        </w:rPr>
      </w:r>
    </w:p>
    <w:p w:rsidR="00000000" w:rsidDel="00000000" w:rsidP="00000000" w:rsidRDefault="00000000" w:rsidRPr="00000000" w14:paraId="0000000A">
      <w:pPr>
        <w:pStyle w:val="Heading2"/>
        <w:spacing w:after="160" w:before="0" w:line="259.20000000000005" w:lineRule="auto"/>
        <w:rPr>
          <w:rFonts w:ascii="Quattrocento Sans" w:cs="Quattrocento Sans" w:eastAsia="Quattrocento Sans" w:hAnsi="Quattrocento Sans"/>
          <w:sz w:val="24"/>
          <w:szCs w:val="24"/>
        </w:rPr>
      </w:pPr>
      <w:bookmarkStart w:colFirst="0" w:colLast="0" w:name="_heading=h.nuxml3n689x5" w:id="0"/>
      <w:bookmarkEnd w:id="0"/>
      <w:r w:rsidDel="00000000" w:rsidR="00000000" w:rsidRPr="00000000">
        <w:rPr>
          <w:rFonts w:ascii="Quattrocento Sans" w:cs="Quattrocento Sans" w:eastAsia="Quattrocento Sans" w:hAnsi="Quattrocento Sans"/>
          <w:sz w:val="24"/>
          <w:szCs w:val="24"/>
          <w:rtl w:val="0"/>
        </w:rPr>
        <w:t xml:space="preserve">Įvadas į temą</w:t>
      </w:r>
    </w:p>
    <w:p w:rsidR="00000000" w:rsidDel="00000000" w:rsidP="00000000" w:rsidRDefault="00000000" w:rsidRPr="00000000" w14:paraId="0000000B">
      <w:pPr>
        <w:spacing w:line="360" w:lineRule="auto"/>
        <w:rPr/>
      </w:pPr>
      <w:r w:rsidDel="00000000" w:rsidR="00000000" w:rsidRPr="00000000">
        <w:rPr>
          <w:sz w:val="24"/>
          <w:szCs w:val="24"/>
          <w:rtl w:val="0"/>
        </w:rPr>
        <w:t xml:space="preserve">Sportuodami ir užsiimdami pomėgiais mažiau įgūdžių turintys suaugusieji gali lavinti matematinius, o vėliau ir STEM įgūdžius. Naudodamiesi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ONE STEP UP" ištekliais, mažiau įgūdžių turintys suaugusieji gali tyrinėti, kaip ši mokomoji medžiaga gali teigiamai paveikti jų gebėjimą dirbti su skaičiais ir skaičiavimais. Taigi, nesvarbu, ar jie yra sporto fanatikai, ar pomėgių entuziastai, jie gali sužinoti, kaip jų mėgstamas užsiėmimas gali padėti tobulėti matematikos ir STEM srityje.</w:t>
      </w:r>
      <w:r w:rsidDel="00000000" w:rsidR="00000000" w:rsidRPr="00000000">
        <w:rPr>
          <w:rtl w:val="0"/>
        </w:rPr>
      </w:r>
    </w:p>
    <w:p w:rsidR="00000000" w:rsidDel="00000000" w:rsidP="00000000" w:rsidRDefault="00000000" w:rsidRPr="00000000" w14:paraId="0000000C">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D">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veiklą </w:t>
      </w:r>
    </w:p>
    <w:p w:rsidR="00000000" w:rsidDel="00000000" w:rsidP="00000000" w:rsidRDefault="00000000" w:rsidRPr="00000000" w14:paraId="0000000E">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Siekdami susipažinti su Airijoje vykstančiu judėjimu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Mokymasis per sportą" ir išsiaiškinsime, kaip šis judėjimas padėjo suaugusiesiems tobulinti matematinius įgūdžius. Besimokantieji taip pat turės galimybę įsitraukti į smagią ir interaktyvią veiklą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Matematika judesyje", kurioje sužinos, kaip sportas gali pagerinti jų gebėjimą dirbti su skaičiais ir skaičiavimais. Tokiu būdu galite įkvėpti besimokančiuosius atrasti, kaip net labiausiai neįtikėtina veikla gali padėti gerokai pagerinti jų matematinius ir STEM įgūdžius.</w:t>
      </w:r>
      <w:r w:rsidDel="00000000" w:rsidR="00000000" w:rsidRPr="00000000">
        <w:rPr>
          <w:rtl w:val="0"/>
        </w:rPr>
      </w:r>
    </w:p>
    <w:p w:rsidR="00000000" w:rsidDel="00000000" w:rsidP="00000000" w:rsidRDefault="00000000" w:rsidRPr="00000000" w14:paraId="00000010">
      <w:pPr>
        <w:spacing w:line="360" w:lineRule="auto"/>
        <w:rPr>
          <w:sz w:val="8"/>
          <w:szCs w:val="8"/>
        </w:rPr>
      </w:pPr>
      <w:r w:rsidDel="00000000" w:rsidR="00000000" w:rsidRPr="00000000">
        <w:rPr>
          <w:rtl w:val="0"/>
        </w:rPr>
      </w:r>
    </w:p>
    <w:p w:rsidR="00000000" w:rsidDel="00000000" w:rsidP="00000000" w:rsidRDefault="00000000" w:rsidRPr="00000000" w14:paraId="00000011">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p>
    <w:p w:rsidR="00000000" w:rsidDel="00000000" w:rsidP="00000000" w:rsidRDefault="00000000" w:rsidRPr="00000000" w14:paraId="00000012">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Norėdami naudoti šį išteklių su suaugusiais besimokančiaisiais savo vietos grupėje, rekomenduojame iš pradžių parodyti jiems vaizdo įrašą, kad pristatytumėte sporto ir pomėgių (matematinių (STEM) gebėjimų) temą.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p>
    <w:p w:rsidR="00000000" w:rsidDel="00000000" w:rsidP="00000000" w:rsidRDefault="00000000" w:rsidRPr="00000000" w14:paraId="00000014">
      <w:pPr>
        <w:shd w:fill="ffffff" w:val="clear"/>
        <w:spacing w:after="225" w:line="360" w:lineRule="auto"/>
        <w:jc w:val="both"/>
        <w:rPr>
          <w:sz w:val="24"/>
          <w:szCs w:val="24"/>
        </w:rPr>
      </w:pPr>
      <w:r w:rsidDel="00000000" w:rsidR="00000000" w:rsidRPr="00000000">
        <w:rPr>
          <w:sz w:val="24"/>
          <w:szCs w:val="24"/>
          <w:rtl w:val="0"/>
        </w:rPr>
        <w:t xml:space="preserve">Kai besimokantieji susipažins su mokomosios medžiagos vadovu, paskatinkite žinias apie matematinės kompetencijos ugdymą per sportą ir pomėgius užtvirtinti viktorinos metu.</w:t>
      </w:r>
      <w:r w:rsidDel="00000000" w:rsidR="00000000" w:rsidRPr="00000000">
        <w:rPr>
          <w:rtl w:val="0"/>
        </w:rPr>
      </w:r>
    </w:p>
    <w:p w:rsidR="00000000" w:rsidDel="00000000" w:rsidP="00000000" w:rsidRDefault="00000000" w:rsidRPr="00000000" w14:paraId="00000015">
      <w:pPr>
        <w:spacing w:line="360" w:lineRule="auto"/>
        <w:rPr>
          <w:i w:val="1"/>
        </w:rPr>
      </w:pPr>
      <w:r w:rsidDel="00000000" w:rsidR="00000000" w:rsidRPr="00000000">
        <w:rPr>
          <w:rtl w:val="0"/>
        </w:rPr>
      </w:r>
    </w:p>
    <w:p w:rsidR="00000000" w:rsidDel="00000000" w:rsidP="00000000" w:rsidRDefault="00000000" w:rsidRPr="00000000" w14:paraId="00000016">
      <w:pPr>
        <w:keepNext w:val="1"/>
        <w:keepLines w:val="1"/>
        <w:spacing w:after="0" w:before="40" w:line="259.20000000000005" w:lineRule="auto"/>
        <w:jc w:val="both"/>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p>
    <w:p w:rsidR="00000000" w:rsidDel="00000000" w:rsidP="00000000" w:rsidRDefault="00000000" w:rsidRPr="00000000" w14:paraId="00000017">
      <w:pPr>
        <w:keepNext w:val="1"/>
        <w:keepLines w:val="1"/>
        <w:spacing w:after="0" w:before="40" w:line="259.20000000000005" w:lineRule="auto"/>
        <w:jc w:val="both"/>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Kas labiausiai nustebino Airijoje vykusioje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w:t>
      </w:r>
      <w:r w:rsidDel="00000000" w:rsidR="00000000" w:rsidRPr="00000000">
        <w:rPr>
          <w:sz w:val="24"/>
          <w:szCs w:val="24"/>
          <w:rtl w:val="0"/>
        </w:rPr>
        <w:t xml:space="preserve">okymosi per sportą” programoje?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Kokiai būdais </w:t>
      </w:r>
      <w:r w:rsidDel="00000000" w:rsidR="00000000" w:rsidRPr="00000000">
        <w:rPr>
          <w:sz w:val="24"/>
          <w:szCs w:val="24"/>
          <w:rtl w:val="0"/>
        </w:rPr>
        <w:t xml:space="preserve">„</w:t>
      </w:r>
      <w:r w:rsidDel="00000000" w:rsidR="00000000" w:rsidRPr="00000000">
        <w:rPr>
          <w:sz w:val="24"/>
          <w:szCs w:val="24"/>
          <w:rtl w:val="0"/>
        </w:rPr>
        <w:t xml:space="preserve">Mokymosi per sportą” programa lavino ne vien matematinius ir STEM įgūdžius?</w:t>
      </w:r>
    </w:p>
    <w:p w:rsidR="00000000" w:rsidDel="00000000" w:rsidP="00000000" w:rsidRDefault="00000000" w:rsidRPr="00000000" w14:paraId="0000001A">
      <w:pPr>
        <w:numPr>
          <w:ilvl w:val="0"/>
          <w:numId w:val="1"/>
        </w:numPr>
        <w:spacing w:after="0" w:line="360" w:lineRule="auto"/>
        <w:ind w:left="720" w:hanging="360"/>
        <w:rPr>
          <w:rFonts w:ascii="Calibri" w:cs="Calibri" w:eastAsia="Calibri" w:hAnsi="Calibri"/>
          <w:sz w:val="24"/>
          <w:szCs w:val="24"/>
        </w:rPr>
      </w:pPr>
      <w:r w:rsidDel="00000000" w:rsidR="00000000" w:rsidRPr="00000000">
        <w:rPr>
          <w:sz w:val="24"/>
          <w:szCs w:val="24"/>
          <w:rtl w:val="0"/>
        </w:rPr>
        <w:t xml:space="preserve">Kokią pagrindinę informaciją išsinešite iš šio atvejo tyrimo ir veiklos? Kaip tai pritaikysite savo gyvenime ar darbe?</w:t>
      </w:r>
    </w:p>
    <w:p w:rsidR="00000000" w:rsidDel="00000000" w:rsidP="00000000" w:rsidRDefault="00000000" w:rsidRPr="00000000" w14:paraId="0000001B">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sz w:val="24"/>
          <w:szCs w:val="24"/>
          <w:rtl w:val="0"/>
        </w:rPr>
        <w:t xml:space="preserve">Kokia buvo jūsų patirtis veikloje </w:t>
      </w:r>
      <w:r w:rsidDel="00000000" w:rsidR="00000000" w:rsidRPr="00000000">
        <w:rPr>
          <w:sz w:val="24"/>
          <w:szCs w:val="24"/>
          <w:rtl w:val="0"/>
        </w:rPr>
        <w:t xml:space="preserve">„</w:t>
      </w:r>
      <w:r w:rsidDel="00000000" w:rsidR="00000000" w:rsidRPr="00000000">
        <w:rPr>
          <w:sz w:val="24"/>
          <w:szCs w:val="24"/>
          <w:rtl w:val="0"/>
        </w:rPr>
        <w:t xml:space="preserve">Matematika per judesį"? Ar ji padėjo pagerinti jūsų matematinę kompetenciją?</w:t>
      </w: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-914396</wp:posOffset>
            </wp:positionH>
            <wp:positionV relativeFrom="margin">
              <wp:posOffset>-931542</wp:posOffset>
            </wp:positionV>
            <wp:extent cx="7625715" cy="10765155"/>
            <wp:effectExtent b="0" l="0" r="0" t="0"/>
            <wp:wrapSquare wrapText="bothSides" distB="0" distT="0" distL="114300" distR="114300"/>
            <wp:docPr descr="Timeline&#10;&#10;Description automatically generated" id="14"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7570986</wp:posOffset>
            </wp:positionV>
            <wp:extent cx="3000375" cy="648010"/>
            <wp:effectExtent b="0" l="0" r="0" t="0"/>
            <wp:wrapNone/>
            <wp:docPr id="1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7267575</wp:posOffset>
                </wp:positionV>
                <wp:extent cx="3486150" cy="1257300"/>
                <wp:effectExtent b="0" l="0" r="0" t="0"/>
                <wp:wrapNone/>
                <wp:docPr id="11"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7267575</wp:posOffset>
                </wp:positionV>
                <wp:extent cx="3486150" cy="1257300"/>
                <wp:effectExtent b="0" l="0" r="0" t="0"/>
                <wp:wrapNone/>
                <wp:docPr id="1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ou8i/O76h5qpFK+R7v2U76f6A==">CgMxLjAyDmgubnV4bWwzbjY4OXg1OAByITFzWWtjOUd2R0tENEdMaFQxdFVsLUpwODVXMktyUGItSA==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2023-02-28T11:41:00Z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