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10;&#10;Description automatically generated" id="7"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6"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Building Multilingual competences through sports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35425" cy="1414145"/>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i w:val="1"/>
          <w:color w:val="000000"/>
          <w:sz w:val="24"/>
          <w:szCs w:val="24"/>
        </w:rPr>
      </w:pPr>
      <w:r w:rsidDel="00000000" w:rsidR="00000000" w:rsidRPr="00000000">
        <w:rPr>
          <w:rFonts w:ascii="Arial" w:cs="Arial" w:eastAsia="Arial" w:hAnsi="Arial"/>
          <w:b w:val="1"/>
          <w:sz w:val="24"/>
          <w:szCs w:val="24"/>
          <w:rtl w:val="0"/>
        </w:rPr>
        <w:t xml:space="preserve">Daugiakalbystės kompetencijos lavinimas per sportą ir pomėgius</w:t>
      </w: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bhz8rwsrmrzb" w:id="0"/>
      <w:bookmarkEnd w:id="0"/>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Sportas ir pomėgiai yra puiki priemonė mokyti kalbos įgūdžių, ypač tuos, kuriems gali trūkti pasitikėjimo savimi šioje srityje. Visuose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One-Step Up" ištekliuose besimokantieji gali tyrinėti, kaip ši mokomoji medžiaga gali teigiamai paveikti jų daugiakalbystės įgūdžius ir kaip jie gali ja naudotis, kad labiau pasitikėtų savo gebėjimais. Taigi, nesvarbu, ar jie yra šokių entuziastai, muzikos gerbėjai, ar pradedančios sporto žvaigždės, jie gali būti nukreipti atrasti, kaip įvairios sporto formos ir pomėgiai gali būti naudojami jų kalbos įgūdžiams tobulinti.</w:t>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E">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0F">
      <w:pPr>
        <w:spacing w:line="360" w:lineRule="auto"/>
        <w:rPr>
          <w:rFonts w:ascii="Quattrocento Sans" w:cs="Quattrocento Sans" w:eastAsia="Quattrocento Sans" w:hAnsi="Quattrocento Sans"/>
          <w:sz w:val="24"/>
          <w:szCs w:val="24"/>
        </w:rPr>
      </w:pPr>
      <w:r w:rsidDel="00000000" w:rsidR="00000000" w:rsidRPr="00000000">
        <w:rPr>
          <w:sz w:val="24"/>
          <w:szCs w:val="24"/>
          <w:rtl w:val="0"/>
        </w:rPr>
        <w:t xml:space="preserve">Naudodamiesi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Coláiste Uisce" atvejo tyrimu, besimokantieji supažindinami su naujoviška ir įtraukiančia airių iniciatyva, skatinančia kalbos mokymąsi per sportą ir pomėgius. Tai pavyzdys, kuriuo siekiama padėti jauniems žmonėms tobulinti daugiakalbystės įgūdžius linksmoje ir jiems malonioje aplinkoje. Besimokantieji taip pat turi galimybę išbandyti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Kalbų olimpiados" veiklą, kuri paskatins juos naudotis daugiakalbystės įgūdžiais išbandant įvairias sporto šakas, pavyzdžiui, tenisą, futbolą, krepšinį ir badmintoną. Tai parodys, kaip sportuoti ir lavinti kalbos įgūdžius gali būti smagu ir įdomu.</w:t>
      </w:r>
      <w:r w:rsidDel="00000000" w:rsidR="00000000" w:rsidRPr="00000000">
        <w:rPr>
          <w:rtl w:val="0"/>
        </w:rPr>
      </w:r>
    </w:p>
    <w:p w:rsidR="00000000" w:rsidDel="00000000" w:rsidP="00000000" w:rsidRDefault="00000000" w:rsidRPr="00000000" w14:paraId="00000010">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1">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2">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sz w:val="24"/>
          <w:szCs w:val="24"/>
          <w:rtl w:val="0"/>
        </w:rPr>
        <w:t xml:space="preserve">„Building Multilingual Competences through Sports and Hobbies</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3">
      <w:pPr>
        <w:shd w:fill="ffffff" w:val="clear"/>
        <w:spacing w:after="225" w:line="360" w:lineRule="auto"/>
        <w:jc w:val="both"/>
        <w:rPr>
          <w:sz w:val="24"/>
          <w:szCs w:val="24"/>
        </w:rPr>
      </w:pPr>
      <w:r w:rsidDel="00000000" w:rsidR="00000000" w:rsidRPr="00000000">
        <w:rPr>
          <w:rFonts w:ascii="Quattrocento Sans" w:cs="Quattrocento Sans" w:eastAsia="Quattrocento Sans" w:hAnsi="Quattrocento Sans"/>
          <w:sz w:val="24"/>
          <w:szCs w:val="24"/>
          <w:rtl w:val="0"/>
        </w:rPr>
        <w:t xml:space="preserve">Kai besimokantieji susipažins su mokomosios medžiagos vadovu, paskatinkite žinias apie daugiakalbystės kompetencijos ugdymą  užtvirtinti viktorinos metu.</w:t>
      </w:r>
      <w:r w:rsidDel="00000000" w:rsidR="00000000" w:rsidRPr="00000000">
        <w:rPr>
          <w:rtl w:val="0"/>
        </w:rPr>
      </w:r>
    </w:p>
    <w:p w:rsidR="00000000" w:rsidDel="00000000" w:rsidP="00000000" w:rsidRDefault="00000000" w:rsidRPr="00000000" w14:paraId="00000014">
      <w:pPr>
        <w:shd w:fill="ffffff" w:val="clear"/>
        <w:spacing w:after="225" w:line="360" w:lineRule="auto"/>
        <w:jc w:val="both"/>
        <w:rPr>
          <w:sz w:val="24"/>
          <w:szCs w:val="24"/>
        </w:rPr>
      </w:pPr>
      <w:r w:rsidDel="00000000" w:rsidR="00000000" w:rsidRPr="00000000">
        <w:rPr>
          <w:rtl w:val="0"/>
        </w:rPr>
      </w:r>
    </w:p>
    <w:p w:rsidR="00000000" w:rsidDel="00000000" w:rsidP="00000000" w:rsidRDefault="00000000" w:rsidRPr="00000000" w14:paraId="00000015">
      <w:pPr>
        <w:keepNext w:val="1"/>
        <w:keepLines w:val="1"/>
        <w:spacing w:after="0" w:before="40" w:line="259.20000000000005"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6">
      <w:pPr>
        <w:keepNext w:val="1"/>
        <w:keepLines w:val="1"/>
        <w:spacing w:after="0" w:before="40" w:line="259.20000000000005" w:lineRule="auto"/>
        <w:jc w:val="both"/>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rFonts w:ascii="Calibri" w:cs="Calibri" w:eastAsia="Calibri" w:hAnsi="Calibri"/>
          <w:sz w:val="24"/>
          <w:szCs w:val="24"/>
        </w:rPr>
      </w:pPr>
      <w:r w:rsidDel="00000000" w:rsidR="00000000" w:rsidRPr="00000000">
        <w:rPr>
          <w:rFonts w:ascii="Quattrocento Sans" w:cs="Quattrocento Sans" w:eastAsia="Quattrocento Sans" w:hAnsi="Quattrocento Sans"/>
          <w:sz w:val="24"/>
          <w:szCs w:val="24"/>
          <w:rtl w:val="0"/>
        </w:rPr>
        <w:t xml:space="preserve">Kokią žinutę išsinešate iš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Colaiste Uisce</w:t>
      </w:r>
      <w:r w:rsidDel="00000000" w:rsidR="00000000" w:rsidRPr="00000000">
        <w:rPr>
          <w:rFonts w:ascii="Quattrocento Sans" w:cs="Quattrocento Sans" w:eastAsia="Quattrocento Sans" w:hAnsi="Quattrocento Sans"/>
          <w:sz w:val="24"/>
          <w:szCs w:val="24"/>
          <w:rtl w:val="0"/>
        </w:rPr>
        <w:t xml:space="preserve">” atvejo analizės?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Kaip manote, kodėl ši programa buvo sėkminga?</w:t>
      </w:r>
      <w:r w:rsidDel="00000000" w:rsidR="00000000" w:rsidRPr="00000000">
        <w:rPr>
          <w:rtl w:val="0"/>
        </w:rPr>
      </w:r>
    </w:p>
    <w:p w:rsidR="00000000" w:rsidDel="00000000" w:rsidP="00000000" w:rsidRDefault="00000000" w:rsidRPr="00000000" w14:paraId="00000019">
      <w:pPr>
        <w:numPr>
          <w:ilvl w:val="0"/>
          <w:numId w:val="1"/>
        </w:numPr>
        <w:spacing w:after="0" w:line="360" w:lineRule="auto"/>
        <w:ind w:left="720" w:hanging="360"/>
        <w:rPr>
          <w:rFonts w:ascii="Calibri" w:cs="Calibri" w:eastAsia="Calibri" w:hAnsi="Calibri"/>
          <w:sz w:val="24"/>
          <w:szCs w:val="24"/>
        </w:rPr>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r w:rsidDel="00000000" w:rsidR="00000000" w:rsidRPr="00000000">
        <w:rPr>
          <w:rtl w:val="0"/>
        </w:rPr>
      </w:r>
    </w:p>
    <w:p w:rsidR="00000000" w:rsidDel="00000000" w:rsidP="00000000" w:rsidRDefault="00000000" w:rsidRPr="00000000" w14:paraId="0000001A">
      <w:pPr>
        <w:numPr>
          <w:ilvl w:val="0"/>
          <w:numId w:val="1"/>
        </w:numPr>
        <w:spacing w:after="0" w:line="360" w:lineRule="auto"/>
        <w:ind w:left="720" w:hanging="360"/>
        <w:rPr>
          <w:rFonts w:ascii="Calibri" w:cs="Calibri" w:eastAsia="Calibri" w:hAnsi="Calibri"/>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veikloje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Kalbų olimpiada"? Ar ji padėjo pagerinti jūsų kalbinę kompetenciją?</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Kokiu būdu sportas ir pomėgiai gali būti įtraukti į tradicinę edukacinę sistemą kalbinių įgūdžių gerinimui? </w:t>
      </w:r>
    </w:p>
    <w:p w:rsidR="00000000" w:rsidDel="00000000" w:rsidP="00000000" w:rsidRDefault="00000000" w:rsidRPr="00000000" w14:paraId="0000001C">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10;&#10;Description automatically generated" id="9"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7581900</wp:posOffset>
            </wp:positionV>
            <wp:extent cx="3000375" cy="648010"/>
            <wp:effectExtent b="0" l="0" r="0" t="0"/>
            <wp:wrapNone/>
            <wp:docPr id="8"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7277100</wp:posOffset>
                </wp:positionV>
                <wp:extent cx="3486150" cy="1257300"/>
                <wp:effectExtent b="0" l="0" r="0" t="0"/>
                <wp:wrapNone/>
                <wp:docPr id="5"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7277100</wp:posOffset>
                </wp:positionV>
                <wp:extent cx="3486150" cy="1257300"/>
                <wp:effectExtent b="0" l="0" r="0" t="0"/>
                <wp:wrapNone/>
                <wp:docPr id="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RQzfgVhjwYnzjiwVwvpvzQadcw==">CgMxLjAyDmguYmh6OHJ3c3JtcnpiOAByITFoNWNtNVM3bEhlVHlpSjJXSnZHZGEtay1qVnJmcTREcA==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2023-06-09T10:45:00Z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