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-932812</wp:posOffset>
            </wp:positionH>
            <wp:positionV relativeFrom="margin">
              <wp:posOffset>-953768</wp:posOffset>
            </wp:positionV>
            <wp:extent cx="7625715" cy="10782300"/>
            <wp:effectExtent b="0" l="0" r="0" t="0"/>
            <wp:wrapSquare wrapText="bothSides" distB="0" distT="0" distL="114300" distR="114300"/>
            <wp:docPr descr="Shape&#10;&#10;Description automatically generated" id="10" name="image2.png"/>
            <a:graphic>
              <a:graphicData uri="http://schemas.openxmlformats.org/drawingml/2006/picture">
                <pic:pic>
                  <pic:nvPicPr>
                    <pic:cNvPr descr="Shape&#10;&#10;Description automatically generated" id="0" name="image2.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9" name=""/>
                <a:graphic>
                  <a:graphicData uri="http://schemas.microsoft.com/office/word/2010/wordprocessingShape">
                    <wps:wsp>
                      <wps:cNvSpPr/>
                      <wps:cNvPr id="3" name="Shape 3"/>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Mathematical (STEM) Competence and Artistic disciplines</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keepNext w:val="1"/>
        <w:keepLines w:val="1"/>
        <w:tabs>
          <w:tab w:val="left" w:leader="none" w:pos="5341"/>
        </w:tabs>
        <w:spacing w:after="0" w:before="40" w:lineRule="auto"/>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Mikromokymosi ištekliai, skirti mažiau įgūdžių turinčių suaugusiųjų įtraukimui į švietimo sistemą ir mokymą(si).</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341"/>
        </w:tabs>
        <w:spacing w:after="0" w:before="40" w:line="259" w:lineRule="auto"/>
        <w:ind w:left="0" w:right="0" w:firstLine="0"/>
        <w:jc w:val="center"/>
        <w:rPr>
          <w:rFonts w:ascii="Bebas Neue" w:cs="Bebas Neue" w:eastAsia="Bebas Neue" w:hAnsi="Bebas Neue"/>
          <w:b w:val="1"/>
          <w:color w:val="f5b335"/>
          <w:sz w:val="48"/>
          <w:szCs w:val="48"/>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341"/>
        </w:tabs>
        <w:spacing w:after="0" w:before="40" w:line="259" w:lineRule="auto"/>
        <w:ind w:left="0" w:right="0" w:firstLine="0"/>
        <w:jc w:val="left"/>
        <w:rPr/>
      </w:pPr>
      <w:r w:rsidDel="00000000" w:rsidR="00000000" w:rsidRPr="00000000">
        <w:rPr>
          <w:rFonts w:ascii="Bebas Neue" w:cs="Bebas Neue" w:eastAsia="Bebas Neue" w:hAnsi="Bebas Neue"/>
          <w:color w:val="1f2126"/>
          <w:sz w:val="36"/>
          <w:szCs w:val="36"/>
          <w:rtl w:val="0"/>
        </w:rPr>
        <w:t xml:space="preserve">Vadovas suaugusiųjų švietėjams </w:t>
      </w:r>
      <w:r w:rsidDel="00000000" w:rsidR="00000000" w:rsidRPr="00000000">
        <w:rPr>
          <w:rFonts w:ascii="Quattrocento Sans" w:cs="Quattrocento Sans" w:eastAsia="Quattrocento Sans" w:hAnsi="Quattrocento Sans"/>
          <w:b w:val="1"/>
          <w:i w:val="0"/>
          <w:smallCaps w:val="0"/>
          <w:strike w:val="0"/>
          <w:color w:val="1f2126"/>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rPr>
          <w:rFonts w:ascii="Bebas Neue" w:cs="Bebas Neue" w:eastAsia="Bebas Neue" w:hAnsi="Bebas Neue"/>
          <w:color w:val="1f2126"/>
          <w:sz w:val="36"/>
          <w:szCs w:val="36"/>
        </w:rPr>
      </w:pPr>
      <w:r w:rsidDel="00000000" w:rsidR="00000000" w:rsidRPr="00000000">
        <w:rPr>
          <w:rFonts w:ascii="Quattrocento Sans" w:cs="Quattrocento Sans" w:eastAsia="Quattrocento Sans" w:hAnsi="Quattrocento Sans"/>
          <w:sz w:val="24"/>
          <w:szCs w:val="24"/>
          <w:rtl w:val="0"/>
        </w:rPr>
        <w:t xml:space="preserve">Pamokos planas</w:t>
      </w:r>
      <w:r w:rsidDel="00000000" w:rsidR="00000000" w:rsidRPr="00000000">
        <w:rPr>
          <w:rtl w:val="0"/>
        </w:rPr>
      </w:r>
    </w:p>
    <w:p w:rsidR="00000000" w:rsidDel="00000000" w:rsidP="00000000" w:rsidRDefault="00000000" w:rsidRPr="00000000" w14:paraId="00000007">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besimokančiaisiais suaugusiais,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r w:rsidDel="00000000" w:rsidR="00000000" w:rsidRPr="00000000">
        <w:rPr>
          <w:rtl w:val="0"/>
        </w:rPr>
      </w:r>
    </w:p>
    <w:p w:rsidR="00000000" w:rsidDel="00000000" w:rsidP="00000000" w:rsidRDefault="00000000" w:rsidRPr="00000000" w14:paraId="00000008">
      <w:pPr>
        <w:spacing w:line="360" w:lineRule="auto"/>
        <w:rPr>
          <w:rFonts w:ascii="Quattrocento Sans" w:cs="Quattrocento Sans" w:eastAsia="Quattrocento Sans" w:hAnsi="Quattrocento Sans"/>
          <w:color w:val="000000"/>
          <w:sz w:val="24"/>
          <w:szCs w:val="24"/>
        </w:rPr>
      </w:pPr>
      <w:r w:rsidDel="00000000" w:rsidR="00000000" w:rsidRPr="00000000">
        <w:rPr>
          <w:rtl w:val="0"/>
        </w:rPr>
      </w:r>
    </w:p>
    <w:p w:rsidR="00000000" w:rsidDel="00000000" w:rsidP="00000000" w:rsidRDefault="00000000" w:rsidRPr="00000000" w14:paraId="00000009">
      <w:pPr>
        <w:spacing w:line="360" w:lineRule="auto"/>
        <w:rPr>
          <w:rFonts w:ascii="Quattrocento Sans" w:cs="Quattrocento Sans" w:eastAsia="Quattrocento Sans" w:hAnsi="Quattrocento Sans"/>
          <w:b w:val="1"/>
          <w:i w:val="1"/>
          <w:color w:val="000000"/>
          <w:sz w:val="24"/>
          <w:szCs w:val="24"/>
        </w:rPr>
      </w:pPr>
      <w:r w:rsidDel="00000000" w:rsidR="00000000" w:rsidRPr="00000000">
        <w:rPr>
          <w:rFonts w:ascii="Quattrocento Sans" w:cs="Quattrocento Sans" w:eastAsia="Quattrocento Sans" w:hAnsi="Quattrocento Sans"/>
          <w:b w:val="1"/>
          <w:sz w:val="24"/>
          <w:szCs w:val="24"/>
          <w:rtl w:val="0"/>
        </w:rPr>
        <w:t xml:space="preserve">Matematinių kompetencijų ugdymas per meną</w:t>
      </w:r>
      <w:r w:rsidDel="00000000" w:rsidR="00000000" w:rsidRPr="00000000">
        <w:rPr>
          <w:rtl w:val="0"/>
        </w:rPr>
      </w:r>
    </w:p>
    <w:p w:rsidR="00000000" w:rsidDel="00000000" w:rsidP="00000000" w:rsidRDefault="00000000" w:rsidRPr="00000000" w14:paraId="0000000A">
      <w:pPr>
        <w:rPr>
          <w:rFonts w:ascii="Quattrocento Sans" w:cs="Quattrocento Sans" w:eastAsia="Quattrocento Sans" w:hAnsi="Quattrocento Sans"/>
          <w:i w:val="1"/>
          <w:color w:val="000000"/>
          <w:sz w:val="24"/>
          <w:szCs w:val="24"/>
        </w:rPr>
      </w:pPr>
      <w:r w:rsidDel="00000000" w:rsidR="00000000" w:rsidRPr="00000000">
        <w:rPr>
          <w:rtl w:val="0"/>
        </w:rPr>
      </w:r>
    </w:p>
    <w:p w:rsidR="00000000" w:rsidDel="00000000" w:rsidP="00000000" w:rsidRDefault="00000000" w:rsidRPr="00000000" w14:paraId="0000000B">
      <w:pPr>
        <w:pStyle w:val="Heading2"/>
        <w:spacing w:after="160" w:before="0" w:line="259.20000000000005" w:lineRule="auto"/>
        <w:rPr>
          <w:rFonts w:ascii="Quattrocento Sans" w:cs="Quattrocento Sans" w:eastAsia="Quattrocento Sans" w:hAnsi="Quattrocento Sans"/>
          <w:b w:val="0"/>
          <w:i w:val="0"/>
          <w:smallCaps w:val="0"/>
          <w:strike w:val="0"/>
          <w:color w:val="ffc000"/>
          <w:sz w:val="24"/>
          <w:szCs w:val="24"/>
          <w:u w:val="none"/>
          <w:shd w:fill="auto" w:val="clear"/>
          <w:vertAlign w:val="baseline"/>
        </w:rPr>
      </w:pPr>
      <w:bookmarkStart w:colFirst="0" w:colLast="0" w:name="_heading=h.n3amltd6i7m8" w:id="0"/>
      <w:bookmarkEnd w:id="0"/>
      <w:r w:rsidDel="00000000" w:rsidR="00000000" w:rsidRPr="00000000">
        <w:rPr>
          <w:rFonts w:ascii="Quattrocento Sans" w:cs="Quattrocento Sans" w:eastAsia="Quattrocento Sans" w:hAnsi="Quattrocento Sans"/>
          <w:sz w:val="24"/>
          <w:szCs w:val="24"/>
          <w:rtl w:val="0"/>
        </w:rPr>
        <w:t xml:space="preserve">Įvadas į temą</w:t>
      </w:r>
      <w:r w:rsidDel="00000000" w:rsidR="00000000" w:rsidRPr="00000000">
        <w:rPr>
          <w:rtl w:val="0"/>
        </w:rPr>
      </w:r>
    </w:p>
    <w:p w:rsidR="00000000" w:rsidDel="00000000" w:rsidP="00000000" w:rsidRDefault="00000000" w:rsidRPr="00000000" w14:paraId="0000000C">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Piešimas, tapyba, fotografavimas ir visų pirma meninė veikla gali padėti mažesnius įgūdžius turintiems lavinti matematinius, geometrinius, o vėliau ir STEM įgūdžius. Naudodamiesi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ONE-STEP UP" ištekliais, mažiau įgūdžių turintys suaugusieji gali tyrinėti, kaip ši mokomoji medžiaga teigiamai paveikia jų gebėjimą dirbti su skaičiais ir skaičiavimais. Taigi, nesvarbu, ar jie užsiima kokia nors meno rūšimi, ar yra tik meninės kūrybos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stebėtojai", jie gali būti vedami atrasti, kaip jų mėgstami paveikslai, piešiniai gali padėti jiems tobulėti matematikos ir STEM srityje.</w:t>
      </w:r>
      <w:r w:rsidDel="00000000" w:rsidR="00000000" w:rsidRPr="00000000">
        <w:rPr>
          <w:rtl w:val="0"/>
        </w:rPr>
      </w:r>
    </w:p>
    <w:p w:rsidR="00000000" w:rsidDel="00000000" w:rsidP="00000000" w:rsidRDefault="00000000" w:rsidRPr="00000000" w14:paraId="0000000D">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E">
      <w:pPr>
        <w:keepNext w:val="1"/>
        <w:keepLines w:val="1"/>
        <w:spacing w:after="0" w:before="40" w:line="259.20000000000005"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Įvadas į veiklą </w:t>
      </w:r>
    </w:p>
    <w:p w:rsidR="00000000" w:rsidDel="00000000" w:rsidP="00000000" w:rsidRDefault="00000000" w:rsidRPr="00000000" w14:paraId="0000000F">
      <w:pPr>
        <w:keepNext w:val="1"/>
        <w:keepLines w:val="1"/>
        <w:spacing w:after="0" w:before="40" w:line="259.20000000000005" w:lineRule="auto"/>
        <w:rPr>
          <w:rFonts w:ascii="Quattrocento Sans" w:cs="Quattrocento Sans" w:eastAsia="Quattrocento Sans" w:hAnsi="Quattrocento Sans"/>
          <w:color w:val="ffc000"/>
          <w:sz w:val="8"/>
          <w:szCs w:val="8"/>
        </w:rPr>
      </w:pPr>
      <w:r w:rsidDel="00000000" w:rsidR="00000000" w:rsidRPr="00000000">
        <w:rPr>
          <w:rtl w:val="0"/>
        </w:rPr>
      </w:r>
    </w:p>
    <w:p w:rsidR="00000000" w:rsidDel="00000000" w:rsidP="00000000" w:rsidRDefault="00000000" w:rsidRPr="00000000" w14:paraId="00000010">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Suaugusiųjų vadove mažiau įgūdžių turintys suaugusieji turi galimybę gilintis į iniciatyvą, įgyvendintą 2020 m.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Matematikos savaitės" metu Finisteryje (Prancūzija). Šios iniciatyvos metu pradinių klasių mokiniams buvo suteikta galimybė atrasti geometriją ir matematiką per meną. Be to, besimokantieji turi galimybę įsitraukti į smagią ir interaktyvią veiklą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Nupiešk veidą". Jie sužinos, kaip piešimas gali pagerinti jų gebėjimą dirbti su matematinėmis priemonėmis ir išmoks simetrijos. </w:t>
      </w:r>
      <w:r w:rsidDel="00000000" w:rsidR="00000000" w:rsidRPr="00000000">
        <w:rPr>
          <w:sz w:val="24"/>
          <w:szCs w:val="24"/>
          <w:rtl w:val="0"/>
        </w:rPr>
        <w:t xml:space="preserve">Tokiu būdu galite įkvėpti besimokančiuosius atrasti, kaip net labiausiai neįtikėtina veikla gali padėti gerokai pagerinti jų matematinius ir STEM įgūdžius.</w:t>
      </w:r>
      <w:r w:rsidDel="00000000" w:rsidR="00000000" w:rsidRPr="00000000">
        <w:rPr>
          <w:rtl w:val="0"/>
        </w:rPr>
      </w:r>
    </w:p>
    <w:p w:rsidR="00000000" w:rsidDel="00000000" w:rsidP="00000000" w:rsidRDefault="00000000" w:rsidRPr="00000000" w14:paraId="00000011">
      <w:pPr>
        <w:spacing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2">
      <w:pPr>
        <w:keepNext w:val="1"/>
        <w:keepLines w:val="1"/>
        <w:spacing w:after="0" w:before="40" w:line="259.20000000000005" w:lineRule="auto"/>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w:t>
      </w:r>
      <w:r w:rsidDel="00000000" w:rsidR="00000000" w:rsidRPr="00000000">
        <w:rPr>
          <w:rtl w:val="0"/>
        </w:rPr>
      </w:r>
    </w:p>
    <w:p w:rsidR="00000000" w:rsidDel="00000000" w:rsidP="00000000" w:rsidRDefault="00000000" w:rsidRPr="00000000" w14:paraId="00000013">
      <w:pPr>
        <w:shd w:fill="ffffff" w:val="clear"/>
        <w:spacing w:after="225" w:line="360" w:lineRule="auto"/>
        <w:jc w:val="both"/>
        <w:rPr>
          <w:rFonts w:ascii="Quattrocento Sans" w:cs="Quattrocento Sans" w:eastAsia="Quattrocento Sans" w:hAnsi="Quattrocento Sans"/>
          <w:sz w:val="8"/>
          <w:szCs w:val="8"/>
        </w:rPr>
      </w:pPr>
      <w:bookmarkStart w:colFirst="0" w:colLast="0" w:name="_heading=h.hsm8d7yq79vf" w:id="1"/>
      <w:bookmarkEnd w:id="1"/>
      <w:r w:rsidDel="00000000" w:rsidR="00000000" w:rsidRPr="00000000">
        <w:rPr>
          <w:rtl w:val="0"/>
        </w:rPr>
      </w:r>
    </w:p>
    <w:p w:rsidR="00000000" w:rsidDel="00000000" w:rsidP="00000000" w:rsidRDefault="00000000" w:rsidRPr="00000000" w14:paraId="00000014">
      <w:pPr>
        <w:shd w:fill="ffffff" w:val="clear"/>
        <w:spacing w:after="225" w:line="360" w:lineRule="auto"/>
        <w:jc w:val="both"/>
        <w:rPr>
          <w:rFonts w:ascii="Quattrocento Sans" w:cs="Quattrocento Sans" w:eastAsia="Quattrocento Sans" w:hAnsi="Quattrocento Sans"/>
          <w:color w:val="000000"/>
          <w:sz w:val="24"/>
          <w:szCs w:val="24"/>
        </w:rPr>
      </w:pPr>
      <w:bookmarkStart w:colFirst="0" w:colLast="0" w:name="_heading=h.gjdgxs" w:id="2"/>
      <w:bookmarkEnd w:id="2"/>
      <w:r w:rsidDel="00000000" w:rsidR="00000000" w:rsidRPr="00000000">
        <w:rPr>
          <w:sz w:val="24"/>
          <w:szCs w:val="24"/>
          <w:rtl w:val="0"/>
        </w:rPr>
        <w:t xml:space="preserve">Norėdami naudoti šį išteklių su suaugusiais besimokančiaisiais savo vietos grupėje, rekomenduojame iš pradžių parodyti jiems vaizdo įrašą, kad pristatytumėte meno disciplinos (matematinių (STEM) gebėjimų) temą.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r>
      <w:r w:rsidDel="00000000" w:rsidR="00000000" w:rsidRPr="00000000">
        <w:rPr>
          <w:rtl w:val="0"/>
        </w:rPr>
      </w:r>
    </w:p>
    <w:p w:rsidR="00000000" w:rsidDel="00000000" w:rsidP="00000000" w:rsidRDefault="00000000" w:rsidRPr="00000000" w14:paraId="00000015">
      <w:pPr>
        <w:shd w:fill="ffffff" w:val="clear"/>
        <w:spacing w:after="225" w:line="360" w:lineRule="auto"/>
        <w:jc w:val="both"/>
        <w:rPr>
          <w:rFonts w:ascii="Quattrocento Sans" w:cs="Quattrocento Sans" w:eastAsia="Quattrocento Sans" w:hAnsi="Quattrocento Sans"/>
          <w:color w:val="000000"/>
          <w:sz w:val="24"/>
          <w:szCs w:val="24"/>
        </w:rPr>
      </w:pPr>
      <w:r w:rsidDel="00000000" w:rsidR="00000000" w:rsidRPr="00000000">
        <w:rPr>
          <w:sz w:val="24"/>
          <w:szCs w:val="24"/>
          <w:rtl w:val="0"/>
        </w:rPr>
        <w:t xml:space="preserve">Kai besimokantieji susipažins su mokomosios medžiagos vadovu, paskatinkite žinias apie matematinės kompetencijos ugdymą per meną užtvirtinti viktorinos metu.</w:t>
      </w:r>
      <w:r w:rsidDel="00000000" w:rsidR="00000000" w:rsidRPr="00000000">
        <w:rPr>
          <w:rtl w:val="0"/>
        </w:rPr>
      </w:r>
    </w:p>
    <w:p w:rsidR="00000000" w:rsidDel="00000000" w:rsidP="00000000" w:rsidRDefault="00000000" w:rsidRPr="00000000" w14:paraId="00000016">
      <w:pPr>
        <w:keepNext w:val="1"/>
        <w:keepLines w:val="1"/>
        <w:spacing w:after="0" w:before="40" w:line="259.20000000000005" w:lineRule="auto"/>
        <w:jc w:val="both"/>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Apibendrinimo klausimai</w:t>
      </w:r>
    </w:p>
    <w:p w:rsidR="00000000" w:rsidDel="00000000" w:rsidP="00000000" w:rsidRDefault="00000000" w:rsidRPr="00000000" w14:paraId="00000017">
      <w:pPr>
        <w:spacing w:line="360" w:lineRule="auto"/>
        <w:jc w:val="both"/>
        <w:rPr>
          <w:rFonts w:ascii="Quattrocento Sans" w:cs="Quattrocento Sans" w:eastAsia="Quattrocento Sans" w:hAnsi="Quattrocento Sans"/>
          <w:sz w:val="8"/>
          <w:szCs w:val="8"/>
        </w:rPr>
      </w:pPr>
      <w:r w:rsidDel="00000000" w:rsidR="00000000" w:rsidRPr="00000000">
        <w:rPr>
          <w:rtl w:val="0"/>
        </w:rPr>
      </w:r>
    </w:p>
    <w:p w:rsidR="00000000" w:rsidDel="00000000" w:rsidP="00000000" w:rsidRDefault="00000000" w:rsidRPr="00000000" w14:paraId="00000018">
      <w:pPr>
        <w:numPr>
          <w:ilvl w:val="0"/>
          <w:numId w:val="2"/>
        </w:numPr>
        <w:spacing w:after="0" w:line="360" w:lineRule="auto"/>
        <w:ind w:left="720" w:hanging="360"/>
        <w:rPr>
          <w:rFonts w:ascii="Calibri" w:cs="Calibri" w:eastAsia="Calibri" w:hAnsi="Calibri"/>
          <w:sz w:val="24"/>
          <w:szCs w:val="24"/>
        </w:rPr>
      </w:pPr>
      <w:r w:rsidDel="00000000" w:rsidR="00000000" w:rsidRPr="00000000">
        <w:rPr>
          <w:sz w:val="24"/>
          <w:szCs w:val="24"/>
          <w:rtl w:val="0"/>
        </w:rPr>
        <w:t xml:space="preserve">Kas labiausiai nustebino Prancūzijoje vykusioje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Matematikos savaitė 2020” iniciatyvoje? </w:t>
      </w:r>
    </w:p>
    <w:p w:rsidR="00000000" w:rsidDel="00000000" w:rsidP="00000000" w:rsidRDefault="00000000" w:rsidRPr="00000000" w14:paraId="00000019">
      <w:pPr>
        <w:numPr>
          <w:ilvl w:val="0"/>
          <w:numId w:val="2"/>
        </w:numPr>
        <w:spacing w:after="0" w:line="360" w:lineRule="auto"/>
        <w:ind w:left="720" w:hanging="360"/>
        <w:rPr>
          <w:rFonts w:ascii="Calibri" w:cs="Calibri" w:eastAsia="Calibri" w:hAnsi="Calibri"/>
          <w:sz w:val="24"/>
          <w:szCs w:val="24"/>
        </w:rPr>
      </w:pPr>
      <w:r w:rsidDel="00000000" w:rsidR="00000000" w:rsidRPr="00000000">
        <w:rPr>
          <w:sz w:val="24"/>
          <w:szCs w:val="24"/>
          <w:rtl w:val="0"/>
        </w:rPr>
        <w:t xml:space="preserve">Kokiai būdais iniciatyva avino ne vien matematinius ir STEM įgūdžius? </w:t>
      </w:r>
    </w:p>
    <w:p w:rsidR="00000000" w:rsidDel="00000000" w:rsidP="00000000" w:rsidRDefault="00000000" w:rsidRPr="00000000" w14:paraId="0000001A">
      <w:pPr>
        <w:numPr>
          <w:ilvl w:val="0"/>
          <w:numId w:val="2"/>
        </w:numPr>
        <w:spacing w:after="0" w:line="360" w:lineRule="auto"/>
        <w:ind w:left="720" w:hanging="360"/>
        <w:rPr>
          <w:rFonts w:ascii="Calibri" w:cs="Calibri" w:eastAsia="Calibri" w:hAnsi="Calibri"/>
          <w:sz w:val="24"/>
          <w:szCs w:val="24"/>
        </w:rPr>
      </w:pPr>
      <w:r w:rsidDel="00000000" w:rsidR="00000000" w:rsidRPr="00000000">
        <w:rPr>
          <w:sz w:val="24"/>
          <w:szCs w:val="24"/>
          <w:rtl w:val="0"/>
        </w:rPr>
        <w:t xml:space="preserve">Kokią pagrindinę informaciją išsinešite iš šio atvejo tyrimo ir veiklos? Kaip tai pritaikysite savo gyvenime ar darbe?</w:t>
      </w:r>
    </w:p>
    <w:p w:rsidR="00000000" w:rsidDel="00000000" w:rsidP="00000000" w:rsidRDefault="00000000" w:rsidRPr="00000000" w14:paraId="0000001B">
      <w:pPr>
        <w:numPr>
          <w:ilvl w:val="0"/>
          <w:numId w:val="2"/>
        </w:numPr>
        <w:spacing w:after="0" w:line="360" w:lineRule="auto"/>
        <w:ind w:left="720" w:hanging="360"/>
        <w:rPr>
          <w:rFonts w:ascii="Quattrocento Sans" w:cs="Quattrocento Sans" w:eastAsia="Quattrocento Sans" w:hAnsi="Quattrocento Sans"/>
          <w:sz w:val="24"/>
          <w:szCs w:val="24"/>
        </w:rPr>
      </w:pPr>
      <w:r w:rsidDel="00000000" w:rsidR="00000000" w:rsidRPr="00000000">
        <w:rPr>
          <w:sz w:val="24"/>
          <w:szCs w:val="24"/>
          <w:rtl w:val="0"/>
        </w:rPr>
        <w:t xml:space="preserve">Kokia buvo jūsų patirtis veikloje „Nupiešk veidą"? Ar ji padėjo pagerinti jūsų matematines ir geometrines kompetencijas?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Kaip menas gali būti įtrauktas į mažiau įgūdžių turinčių suaugusiųjų švietimo ar mokymo programas, kad jie patobulintų matematikos ir STEM įgūdžius?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11" name="image1.png"/>
            <a:graphic>
              <a:graphicData uri="http://schemas.openxmlformats.org/drawingml/2006/picture">
                <pic:pic>
                  <pic:nvPicPr>
                    <pic:cNvPr descr="Timeline&#10;&#10;Description automatically generated" id="0" name="image1.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7277100</wp:posOffset>
                </wp:positionV>
                <wp:extent cx="3486150" cy="1257300"/>
                <wp:effectExtent b="0" l="0" r="0" t="0"/>
                <wp:wrapNone/>
                <wp:docPr id="8" name=""/>
                <a:graphic>
                  <a:graphicData uri="http://schemas.microsoft.com/office/word/2010/wordprocessingShape">
                    <wps:wsp>
                      <wps:cNvSpPr/>
                      <wps:cNvPr id="2" name="Shape 2"/>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7277100</wp:posOffset>
                </wp:positionV>
                <wp:extent cx="3486150" cy="1257300"/>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486150" cy="125730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-447674</wp:posOffset>
            </wp:positionH>
            <wp:positionV relativeFrom="paragraph">
              <wp:posOffset>7581900</wp:posOffset>
            </wp:positionV>
            <wp:extent cx="3000375" cy="648010"/>
            <wp:effectExtent b="0" l="0" r="0" t="0"/>
            <wp:wrapNone/>
            <wp:docPr id="12"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3000375" cy="648010"/>
                    </a:xfrm>
                    <a:prstGeom prst="rect"/>
                    <a:ln/>
                  </pic:spPr>
                </pic:pic>
              </a:graphicData>
            </a:graphic>
          </wp:anchor>
        </w:drawing>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Titre2">
    <w:name w:val="heading 2"/>
    <w:basedOn w:val="Normal"/>
    <w:next w:val="Normal"/>
    <w:link w:val="Titre2C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2B6AE4"/>
    <w:pPr>
      <w:tabs>
        <w:tab w:val="center" w:pos="4513"/>
        <w:tab w:val="right" w:pos="9026"/>
      </w:tabs>
      <w:spacing w:after="0" w:line="240" w:lineRule="auto"/>
    </w:pPr>
  </w:style>
  <w:style w:type="character" w:styleId="En-tteCar" w:customStyle="1">
    <w:name w:val="En-tête Car"/>
    <w:basedOn w:val="Policepardfaut"/>
    <w:link w:val="En-tte"/>
    <w:uiPriority w:val="99"/>
    <w:rsid w:val="002B6AE4"/>
  </w:style>
  <w:style w:type="paragraph" w:styleId="Pieddepage">
    <w:name w:val="footer"/>
    <w:basedOn w:val="Normal"/>
    <w:link w:val="PieddepageCar"/>
    <w:uiPriority w:val="99"/>
    <w:unhideWhenUsed w:val="1"/>
    <w:rsid w:val="002B6AE4"/>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2B6AE4"/>
  </w:style>
  <w:style w:type="character" w:styleId="Titre1Car" w:customStyle="1">
    <w:name w:val="Titre 1 Car"/>
    <w:basedOn w:val="Policepardfaut"/>
    <w:link w:val="Titre1"/>
    <w:uiPriority w:val="9"/>
    <w:rsid w:val="002B6AE4"/>
    <w:rPr>
      <w:rFonts w:asciiTheme="majorHAnsi" w:cstheme="majorBidi" w:eastAsiaTheme="majorEastAsia" w:hAnsiTheme="majorHAnsi"/>
      <w:color w:val="225c99"/>
      <w:sz w:val="32"/>
      <w:szCs w:val="32"/>
    </w:rPr>
  </w:style>
  <w:style w:type="character" w:styleId="Titre2Car" w:customStyle="1">
    <w:name w:val="Titre 2 Car"/>
    <w:basedOn w:val="Policepardfaut"/>
    <w:link w:val="Titre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Sansinterligne">
    <w:name w:val="No Spacing"/>
    <w:uiPriority w:val="1"/>
    <w:qFormat w:val="1"/>
    <w:rsid w:val="00026A45"/>
    <w:pPr>
      <w:spacing w:after="0" w:line="240" w:lineRule="auto"/>
    </w:pPr>
  </w:style>
  <w:style w:type="paragraph" w:styleId="Paragraphedeliste">
    <w:name w:val="List Paragraph"/>
    <w:basedOn w:val="Normal"/>
    <w:uiPriority w:val="34"/>
    <w:qFormat w:val="1"/>
    <w:rsid w:val="00C642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3lQUktfbyy4egPzE0X2OlZmQ5Q==">CgMxLjAyDmgubjNhbWx0ZDZpN204Mg5oLmhzbThkN3lxNzl2ZjIIaC5namRneHM4AHIhMVdwZGFDZjlqREZ2MlpTNk0tYjJZeS1oTmFVUm5KV1ZY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2023-02-14T11:52:00Z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