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6" name="image9.png"/>
            <a:graphic>
              <a:graphicData uri="http://schemas.openxmlformats.org/drawingml/2006/picture">
                <pic:pic>
                  <pic:nvPicPr>
                    <pic:cNvPr descr="Shape&#10;&#10;Description automatically generated" id="0" name="image9.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8"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&lt;Competence area and transversal theme&gt;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8"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i w:val="0"/>
          <w:smallCaps w:val="0"/>
          <w:strike w:val="0"/>
          <w:color w:val="2f5496"/>
          <w:sz w:val="32"/>
          <w:szCs w:val="32"/>
          <w:u w:val="none"/>
          <w:shd w:fill="auto" w:val="clear"/>
          <w:vertAlign w:val="baseline"/>
        </w:rPr>
      </w:pPr>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Kokios meno rūšys gali būti naudojamos kalbos kompetencijoms tobulinti?</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Atvejo analizė: „ESL Through Art” – anglų kalbos mokymosi programos per meną</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Mokymosi veikla</w:t>
              <w:tab/>
              <w:t xml:space="preserve">6</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Papildoma mokymosi medžiaga</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rPr/>
      </w:pPr>
      <w:r w:rsidDel="00000000" w:rsidR="00000000" w:rsidRPr="00000000">
        <w:rPr>
          <w:rtl w:val="0"/>
        </w:rPr>
        <w:t xml:space="preserve">Kokios meno rūšys gali būti naudojamos kalbos kompetencijoms tobulinti?</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Kalbant apie kalbos mokymąsi, gali būti taikomas senas posakis: paveikslas vertas tūkstančio žodžių. Menas, kaip idėjų ir emocijų išraiška per fizinę terpę, gali būti naudojamas kalbos kompetencijoms tobulinti. Ši fizinė terpė gali būti vaizduojamieji menai, muzika, drama, poezija, filmai, kūrybinis rašymas ir skaitmeninė medija. Meno integravimas į kalbų mokymąsi gali padaryti mokymosi procesą kūrybiškesnį ir patrauklesnį. Tai pagerins kalbos įsisavinimą, kultūrinį supratimą ir asmeninę raišką. Štai keletas skirtingų meno rūšių pavyzdžių, kurias galima panaudoti kalbos kompetencijoms tobulinti.</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1924402" cy="1183592"/>
            <wp:effectExtent b="0" l="0" r="0" t="0"/>
            <wp:wrapSquare wrapText="bothSides" distB="114300" distT="114300" distL="114300" distR="114300"/>
            <wp:docPr id="3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924402" cy="1183592"/>
                    </a:xfrm>
                    <a:prstGeom prst="rect"/>
                    <a:ln/>
                  </pic:spPr>
                </pic:pic>
              </a:graphicData>
            </a:graphic>
          </wp:anchor>
        </w:drawing>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Vienas iš būdų įtraukti meną į kalbų mokymąsi yra muzika ir šokis. Klausymasis dainų užsienio kalba padeda pagerinti klausymo įgūdžius, supratimą ir tarimą. Užsienio kalbos dainų dainavimas gerina žodyną, gramatiką ir intonaciją. Taip pat galima analizuoti ir diskutuoti apie dainų tekstus, gilintis į dainų tekstuose įterptas kultūrines sąvokas.</w:t>
      </w:r>
    </w:p>
    <w:p w:rsidR="00000000" w:rsidDel="00000000" w:rsidP="00000000" w:rsidRDefault="00000000" w:rsidRPr="00000000" w14:paraId="0000001B">
      <w:pPr>
        <w:jc w:val="both"/>
        <w:rPr>
          <w:sz w:val="24"/>
          <w:szCs w:val="24"/>
        </w:rPr>
      </w:pPr>
      <w:r w:rsidDel="00000000" w:rsidR="00000000" w:rsidRPr="00000000">
        <w:rPr>
          <w:rtl w:val="0"/>
        </w:rPr>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Derindami kalbos mokymosi ir vizualiojo meno formas, tokias kaip tapyba, piešimas ir fotografija, galima atpažinti ir įvardinti vaizdinius elementus, objektus, spalvas ir formas bei išreikšti emocijas per meninę veiklą. Per vizualinį meną galima kurti priemones, padedančias naujų žodžių mokymuisi.</w:t>
      </w:r>
      <w:r w:rsidDel="00000000" w:rsidR="00000000" w:rsidRPr="00000000">
        <w:drawing>
          <wp:anchor allowOverlap="1" behindDoc="0" distB="114300" distT="114300" distL="114300" distR="114300" hidden="0" layoutInCell="1" locked="0" relativeHeight="0" simplePos="0">
            <wp:simplePos x="0" y="0"/>
            <wp:positionH relativeFrom="column">
              <wp:posOffset>3616650</wp:posOffset>
            </wp:positionH>
            <wp:positionV relativeFrom="paragraph">
              <wp:posOffset>914400</wp:posOffset>
            </wp:positionV>
            <wp:extent cx="2109788" cy="1573579"/>
            <wp:effectExtent b="0" l="0" r="0" t="0"/>
            <wp:wrapSquare wrapText="bothSides" distB="114300" distT="114300" distL="114300" distR="114300"/>
            <wp:docPr id="3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109788" cy="1573579"/>
                    </a:xfrm>
                    <a:prstGeom prst="rect"/>
                    <a:ln/>
                  </pic:spPr>
                </pic:pic>
              </a:graphicData>
            </a:graphic>
          </wp:anchor>
        </w:drawing>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Drama ir teatras gali prisidėti prie kalbų mokymosi – pagerinti kalbėjimo ir klausymo įgūdžius ir tuo pačiu ugdyti pasitikėjimą savimi bei kūrybiškumą. Per dialogus, monologus, vaidmenų žaidimus ar trumpus vaidinimus, galite lavinti tarimą, intonaciją ir emocijų reiškimą.</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Poezija ir literatūra taip pat gali palengvinti kalbų mokymąsi ir žodyną per eilėraščių analizę, istorijų ir romanų skaitymą. Taip pat galima žodyną lavinti aptariant kūrinio temas, veikėjus ir literatūrinius metodus.</w:t>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Filmai ir vaizdinė medija visada buvo puiki priemonė mokantis kalbų – galima lavinti savo klausymo įgūdžius ir geriau įsisavinti žodyną žiūrint audiovizualinį turinį. Taip pat galite mokymosi procesą padaryti produktyvesniu įsijungę subtitrus. Po veiklos geriausia aptarti siužetą ir veikėjus, kad būtų gerinamas kultūrinis supratimas ir lavinamas kritinis mąstymas.</w:t>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Kūrybinis tekstų ir dienoraščių rašymas suteikia daug galimybių lavinti rašymo įgūdžius, plėsti žodyną ir išreikšti savo mintis bei patirtį. Pasirinkite jus dominančią temą ir parašykite trumpas istorijas, esė ar asmeninius apmąstymus.</w:t>
      </w:r>
    </w:p>
    <w:p w:rsidR="00000000" w:rsidDel="00000000" w:rsidP="00000000" w:rsidRDefault="00000000" w:rsidRPr="00000000" w14:paraId="00000021">
      <w:pPr>
        <w:jc w:val="both"/>
        <w:rPr>
          <w:b w:val="1"/>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Taip pat į kalbų mokymąsi per meną galite įtraukti skaitmenines medijas. Kurdami skaitmeninius pristatymus, infografikas, įrašydami tinklalaides ar vaizdo įrašus. Taip galite palengvinti kalbų mokymąsi, paskatinti tyrimus šia tema, jų organizavimą ir veiksmingą informacijos perdavimą.</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pStyle w:val="Heading1"/>
        <w:rPr>
          <w:sz w:val="24"/>
          <w:szCs w:val="24"/>
        </w:rPr>
      </w:pPr>
      <w:r w:rsidDel="00000000" w:rsidR="00000000" w:rsidRPr="00000000">
        <w:rPr>
          <w:rtl w:val="0"/>
        </w:rPr>
        <w:t xml:space="preserve">Atvejo analizė: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ESL Through Art” – anglų kalbos mokymosi programos per meną</w:t>
      </w:r>
      <w:r w:rsidDel="00000000" w:rsidR="00000000" w:rsidRPr="00000000">
        <w:rPr>
          <w:rtl w:val="0"/>
        </w:rPr>
      </w:r>
    </w:p>
    <w:p w:rsidR="00000000" w:rsidDel="00000000" w:rsidP="00000000" w:rsidRDefault="00000000" w:rsidRPr="00000000" w14:paraId="00000025">
      <w:pPr>
        <w:jc w:val="both"/>
        <w:rPr>
          <w:sz w:val="24"/>
          <w:szCs w:val="24"/>
        </w:rPr>
      </w:pPr>
      <w:r w:rsidDel="00000000" w:rsidR="00000000" w:rsidRPr="00000000">
        <w:rPr>
          <w:rtl w:val="0"/>
        </w:rPr>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Kroatų kalbų mokykla „Sequoia Center“ sukūrė specialią anglų kalbos mokymosi per meną programą „ESL Through Art“, kurios tikslas – patenkinti dalyvių poreikius ir įveikti jų kalbos barjerus pasitelkiant universalią vizualiųjų menų kalbą.</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722939</wp:posOffset>
            </wp:positionV>
            <wp:extent cx="3437484" cy="1283202"/>
            <wp:effectExtent b="0" l="0" r="0" t="0"/>
            <wp:wrapSquare wrapText="bothSides" distB="114300" distT="114300" distL="114300" distR="114300"/>
            <wp:docPr id="3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437484" cy="1283202"/>
                    </a:xfrm>
                    <a:prstGeom prst="rect"/>
                    <a:ln/>
                  </pic:spPr>
                </pic:pic>
              </a:graphicData>
            </a:graphic>
          </wp:anchor>
        </w:drawing>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Jų mokymo programoje meno kūriniai naudojami kaip katalizatorius, padedantis pagerinti anglų kalbos bendravimo įgūdžius, išmokti naujo žodyno ir supažindinti dalyvius su pasaulio kultūrų turtingumu, įvairiais menais ir patirtimi.</w:t>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Pagrindinis šios programos tikslas yra ne gilintis į meno kūrinių ir teorijų analizę, o naudoti vizualųjį meną kaip užsienio kalbos, pirmiausia anglų, mokymosi įrankį. Pagrindinė meno kūrinio prasmė ar žinutė nėra tokia svarbi, kaip galimi būdai panaudoti meno kūrinius kalbos ir žodyno lavinimui, ypač pradedantiesiems skirtose programose.</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Programos dalyviai susipažins su įvairiais meno laikotarpiais, technikomis, konkrečių meno kūrinių istorijomis. Meno kūrinių stebėjimo procesas suteiks jiems atskaitos taškus užsienio kalbų žinioms įgyti – gramatikai, žodynui, o galiausiai – gebėjimui laisvai bendrauti užsienio kalba, pirmiausia anglų kalba.</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1085850</wp:posOffset>
            </wp:positionV>
            <wp:extent cx="2560749" cy="1280375"/>
            <wp:effectExtent b="0" l="0" r="0" t="0"/>
            <wp:wrapSquare wrapText="bothSides" distB="114300" distT="114300" distL="114300" distR="114300"/>
            <wp:docPr id="3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560749" cy="1280375"/>
                    </a:xfrm>
                    <a:prstGeom prst="rect"/>
                    <a:ln/>
                  </pic:spPr>
                </pic:pic>
              </a:graphicData>
            </a:graphic>
          </wp:anchor>
        </w:drawing>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Remdamiesi turimomis žiniomis, dalyviai tobulins kalbos mokėjimą ir bendravimo užsienio kalba įgūdžius. Lavins tiek rašyba, tiek kalbėjimo įgūdžius.</w:t>
      </w:r>
    </w:p>
    <w:p w:rsidR="00000000" w:rsidDel="00000000" w:rsidP="00000000" w:rsidRDefault="00000000" w:rsidRPr="00000000" w14:paraId="0000002B">
      <w:pPr>
        <w:jc w:val="both"/>
        <w:rPr>
          <w:sz w:val="24"/>
          <w:szCs w:val="24"/>
        </w:rPr>
      </w:pPr>
      <w:r w:rsidDel="00000000" w:rsidR="00000000" w:rsidRPr="00000000">
        <w:rPr>
          <w:rtl w:val="0"/>
        </w:rPr>
      </w:r>
    </w:p>
    <w:p w:rsidR="00000000" w:rsidDel="00000000" w:rsidP="00000000" w:rsidRDefault="00000000" w:rsidRPr="00000000" w14:paraId="0000002C">
      <w:pPr>
        <w:jc w:val="both"/>
        <w:rPr>
          <w:sz w:val="24"/>
          <w:szCs w:val="24"/>
        </w:rPr>
      </w:pPr>
      <w:r w:rsidDel="00000000" w:rsidR="00000000" w:rsidRPr="00000000">
        <w:rPr>
          <w:rtl w:val="0"/>
        </w:rPr>
      </w:r>
    </w:p>
    <w:p w:rsidR="00000000" w:rsidDel="00000000" w:rsidP="00000000" w:rsidRDefault="00000000" w:rsidRPr="00000000" w14:paraId="0000002D">
      <w:pPr>
        <w:jc w:val="both"/>
        <w:rPr>
          <w:sz w:val="24"/>
          <w:szCs w:val="24"/>
        </w:rPr>
      </w:pPr>
      <w:r w:rsidDel="00000000" w:rsidR="00000000" w:rsidRPr="00000000">
        <w:rPr>
          <w:rtl w:val="0"/>
        </w:rPr>
      </w:r>
    </w:p>
    <w:p w:rsidR="00000000" w:rsidDel="00000000" w:rsidP="00000000" w:rsidRDefault="00000000" w:rsidRPr="00000000" w14:paraId="0000002E">
      <w:pPr>
        <w:jc w:val="both"/>
        <w:rPr>
          <w:sz w:val="24"/>
          <w:szCs w:val="24"/>
        </w:rPr>
      </w:pPr>
      <w:r w:rsidDel="00000000" w:rsidR="00000000" w:rsidRPr="00000000">
        <w:rPr>
          <w:rtl w:val="0"/>
        </w:rPr>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jc w:val="both"/>
        <w:rPr>
          <w:b w:val="1"/>
          <w:sz w:val="24"/>
          <w:szCs w:val="24"/>
        </w:rPr>
      </w:pPr>
      <w:r w:rsidDel="00000000" w:rsidR="00000000" w:rsidRPr="00000000">
        <w:rPr>
          <w:b w:val="1"/>
          <w:sz w:val="24"/>
          <w:szCs w:val="24"/>
          <w:rtl w:val="0"/>
        </w:rPr>
        <w:t xml:space="preserve">Klausimai</w:t>
      </w:r>
    </w:p>
    <w:p w:rsidR="00000000" w:rsidDel="00000000" w:rsidP="00000000" w:rsidRDefault="00000000" w:rsidRPr="00000000" w14:paraId="00000032">
      <w:pPr>
        <w:numPr>
          <w:ilvl w:val="0"/>
          <w:numId w:val="3"/>
        </w:numPr>
        <w:ind w:left="720" w:hanging="360"/>
        <w:jc w:val="both"/>
        <w:rPr>
          <w:sz w:val="24"/>
          <w:szCs w:val="24"/>
          <w:u w:val="none"/>
        </w:rPr>
      </w:pPr>
      <w:r w:rsidDel="00000000" w:rsidR="00000000" w:rsidRPr="00000000">
        <w:rPr>
          <w:sz w:val="24"/>
          <w:szCs w:val="24"/>
          <w:rtl w:val="0"/>
        </w:rPr>
        <w:t xml:space="preserve">Kaip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Sequoia centras” kursuose yra tobulinami studentų daugiakalbystės įgūdžiai?</w:t>
      </w:r>
      <w:r w:rsidDel="00000000" w:rsidR="00000000" w:rsidRPr="00000000">
        <w:rPr>
          <w:rtl w:val="0"/>
        </w:rPr>
      </w:r>
    </w:p>
    <w:p w:rsidR="00000000" w:rsidDel="00000000" w:rsidP="00000000" w:rsidRDefault="00000000" w:rsidRPr="00000000" w14:paraId="00000033">
      <w:pPr>
        <w:spacing w:line="360" w:lineRule="auto"/>
        <w:ind w:left="720" w:firstLine="0"/>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4">
      <w:pPr>
        <w:numPr>
          <w:ilvl w:val="0"/>
          <w:numId w:val="3"/>
        </w:numPr>
        <w:ind w:left="720" w:hanging="360"/>
        <w:jc w:val="both"/>
        <w:rPr>
          <w:sz w:val="24"/>
          <w:szCs w:val="24"/>
        </w:rPr>
      </w:pPr>
      <w:r w:rsidDel="00000000" w:rsidR="00000000" w:rsidRPr="00000000">
        <w:rPr>
          <w:sz w:val="24"/>
          <w:szCs w:val="24"/>
          <w:rtl w:val="0"/>
        </w:rPr>
        <w:t xml:space="preserve">Ar manote, kad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Sequoia centro” metodas veikia geriau nei kalbos mokymas tradicinėje klasėje?</w:t>
      </w:r>
    </w:p>
    <w:p w:rsidR="00000000" w:rsidDel="00000000" w:rsidP="00000000" w:rsidRDefault="00000000" w:rsidRPr="00000000" w14:paraId="00000035">
      <w:pPr>
        <w:spacing w:line="360" w:lineRule="auto"/>
        <w:ind w:left="720" w:firstLine="0"/>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6">
      <w:pPr>
        <w:numPr>
          <w:ilvl w:val="0"/>
          <w:numId w:val="3"/>
        </w:numPr>
        <w:ind w:left="720" w:hanging="360"/>
        <w:jc w:val="both"/>
        <w:rPr>
          <w:sz w:val="24"/>
          <w:szCs w:val="24"/>
        </w:rPr>
      </w:pPr>
      <w:r w:rsidDel="00000000" w:rsidR="00000000" w:rsidRPr="00000000">
        <w:rPr>
          <w:sz w:val="24"/>
          <w:szCs w:val="24"/>
          <w:rtl w:val="0"/>
        </w:rPr>
        <w:t xml:space="preserve">Kaip manote, kaip galėtumėte patobulinti savo daugiakalbystės įgūdžius per meną?</w:t>
      </w:r>
    </w:p>
    <w:p w:rsidR="00000000" w:rsidDel="00000000" w:rsidP="00000000" w:rsidRDefault="00000000" w:rsidRPr="00000000" w14:paraId="00000037">
      <w:pPr>
        <w:spacing w:line="360" w:lineRule="auto"/>
        <w:ind w:left="720" w:firstLine="0"/>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8">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39">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3B">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1"/>
        <w:rPr/>
      </w:pPr>
      <w:r w:rsidDel="00000000" w:rsidR="00000000" w:rsidRPr="00000000">
        <w:rPr>
          <w:rtl w:val="0"/>
        </w:rPr>
        <w:t xml:space="preserve">Mokymosi veikla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w:t>
            </w:r>
            <w:r w:rsidDel="00000000" w:rsidR="00000000" w:rsidRPr="00000000">
              <w:rPr>
                <w:b w:val="1"/>
                <w:rtl w:val="0"/>
              </w:rPr>
              <w:t xml:space="preserve">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Daugiakalbystės kompetencija per meną</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Daugiakalbystės meno koliažas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pBdr>
              <w:jc w:val="both"/>
              <w:rPr/>
            </w:pPr>
            <w:r w:rsidDel="00000000" w:rsidR="00000000" w:rsidRPr="00000000">
              <w:rPr/>
              <w:drawing>
                <wp:inline distB="114300" distT="114300" distL="114300" distR="114300">
                  <wp:extent cx="4433888" cy="3325416"/>
                  <wp:effectExtent b="0" l="0" r="0" t="0"/>
                  <wp:docPr id="3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4433888" cy="332541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rtl w:val="0"/>
              </w:rPr>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60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numPr>
                <w:ilvl w:val="0"/>
                <w:numId w:val="1"/>
              </w:numPr>
              <w:pBdr>
                <w:top w:color="000000" w:space="0" w:sz="0" w:val="none"/>
                <w:left w:color="000000" w:space="0" w:sz="0" w:val="none"/>
                <w:bottom w:color="000000" w:space="0" w:sz="0" w:val="none"/>
                <w:right w:color="000000" w:space="0" w:sz="0" w:val="none"/>
              </w:pBdr>
              <w:ind w:left="720" w:hanging="360"/>
            </w:pPr>
            <w:r w:rsidDel="00000000" w:rsidR="00000000" w:rsidRPr="00000000">
              <w:rPr>
                <w:rtl w:val="0"/>
              </w:rPr>
              <w:t xml:space="preserve">Tyrinėti daugiakalbystę</w:t>
            </w:r>
          </w:p>
          <w:p w:rsidR="00000000" w:rsidDel="00000000" w:rsidP="00000000" w:rsidRDefault="00000000" w:rsidRPr="00000000" w14:paraId="00000056">
            <w:pPr>
              <w:numPr>
                <w:ilvl w:val="0"/>
                <w:numId w:val="1"/>
              </w:numPr>
              <w:pBdr>
                <w:top w:color="000000" w:space="0" w:sz="0" w:val="none"/>
                <w:left w:color="000000" w:space="0" w:sz="0" w:val="none"/>
                <w:bottom w:color="000000" w:space="0" w:sz="0" w:val="none"/>
                <w:right w:color="000000" w:space="0" w:sz="0" w:val="none"/>
              </w:pBdr>
              <w:ind w:left="720" w:hanging="360"/>
            </w:pPr>
            <w:r w:rsidDel="00000000" w:rsidR="00000000" w:rsidRPr="00000000">
              <w:rPr>
                <w:rtl w:val="0"/>
              </w:rPr>
              <w:t xml:space="preserve">Išreikšti savo meninį kūrybiškumą</w:t>
            </w:r>
          </w:p>
          <w:p w:rsidR="00000000" w:rsidDel="00000000" w:rsidP="00000000" w:rsidRDefault="00000000" w:rsidRPr="00000000" w14:paraId="00000057">
            <w:pPr>
              <w:numPr>
                <w:ilvl w:val="0"/>
                <w:numId w:val="1"/>
              </w:numPr>
              <w:pBdr>
                <w:top w:color="000000" w:space="0" w:sz="0" w:val="none"/>
                <w:left w:color="000000" w:space="0" w:sz="0" w:val="none"/>
                <w:bottom w:color="000000" w:space="0" w:sz="0" w:val="none"/>
                <w:right w:color="000000" w:space="0" w:sz="0" w:val="none"/>
              </w:pBdr>
              <w:ind w:left="720" w:hanging="360"/>
            </w:pPr>
            <w:r w:rsidDel="00000000" w:rsidR="00000000" w:rsidRPr="00000000">
              <w:rPr>
                <w:rtl w:val="0"/>
              </w:rPr>
              <w:t xml:space="preserve">Reflektuoti kalbos mokymosi patirtį</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Tyrinėti kalbų ir kultūrų įvairovę per meną, kuriant daugiakalbystės koliažą.</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numPr>
                <w:ilvl w:val="0"/>
                <w:numId w:val="4"/>
              </w:numPr>
              <w:ind w:left="1440" w:hanging="360"/>
              <w:jc w:val="both"/>
              <w:rPr>
                <w:rFonts w:ascii="Calibri" w:cs="Calibri" w:eastAsia="Calibri" w:hAnsi="Calibri"/>
                <w:color w:val="0e101a"/>
              </w:rPr>
            </w:pPr>
            <w:r w:rsidDel="00000000" w:rsidR="00000000" w:rsidRPr="00000000">
              <w:rPr>
                <w:color w:val="0e101a"/>
                <w:rtl w:val="0"/>
              </w:rPr>
              <w:t xml:space="preserve">Įvairių kalbų žurnalai ir laikraščiai</w:t>
            </w:r>
          </w:p>
          <w:p w:rsidR="00000000" w:rsidDel="00000000" w:rsidP="00000000" w:rsidRDefault="00000000" w:rsidRPr="00000000" w14:paraId="0000005E">
            <w:pPr>
              <w:numPr>
                <w:ilvl w:val="0"/>
                <w:numId w:val="4"/>
              </w:numPr>
              <w:ind w:left="1440" w:hanging="360"/>
              <w:jc w:val="both"/>
              <w:rPr>
                <w:rFonts w:ascii="Calibri" w:cs="Calibri" w:eastAsia="Calibri" w:hAnsi="Calibri"/>
                <w:color w:val="0e101a"/>
              </w:rPr>
            </w:pPr>
            <w:r w:rsidDel="00000000" w:rsidR="00000000" w:rsidRPr="00000000">
              <w:rPr>
                <w:color w:val="0e101a"/>
                <w:rtl w:val="0"/>
              </w:rPr>
              <w:t xml:space="preserve">Žirklės</w:t>
            </w:r>
          </w:p>
          <w:p w:rsidR="00000000" w:rsidDel="00000000" w:rsidP="00000000" w:rsidRDefault="00000000" w:rsidRPr="00000000" w14:paraId="0000005F">
            <w:pPr>
              <w:numPr>
                <w:ilvl w:val="0"/>
                <w:numId w:val="4"/>
              </w:numPr>
              <w:ind w:left="1440" w:hanging="360"/>
              <w:jc w:val="both"/>
              <w:rPr>
                <w:rFonts w:ascii="Calibri" w:cs="Calibri" w:eastAsia="Calibri" w:hAnsi="Calibri"/>
                <w:color w:val="0e101a"/>
              </w:rPr>
            </w:pPr>
            <w:r w:rsidDel="00000000" w:rsidR="00000000" w:rsidRPr="00000000">
              <w:rPr>
                <w:color w:val="0e101a"/>
                <w:rtl w:val="0"/>
              </w:rPr>
              <w:t xml:space="preserve">Klijai arba lipni juosta</w:t>
            </w:r>
          </w:p>
          <w:p w:rsidR="00000000" w:rsidDel="00000000" w:rsidP="00000000" w:rsidRDefault="00000000" w:rsidRPr="00000000" w14:paraId="00000060">
            <w:pPr>
              <w:numPr>
                <w:ilvl w:val="0"/>
                <w:numId w:val="4"/>
              </w:numPr>
              <w:ind w:left="1440" w:hanging="360"/>
              <w:jc w:val="both"/>
              <w:rPr>
                <w:rFonts w:ascii="Calibri" w:cs="Calibri" w:eastAsia="Calibri" w:hAnsi="Calibri"/>
                <w:color w:val="0e101a"/>
              </w:rPr>
            </w:pPr>
            <w:r w:rsidDel="00000000" w:rsidR="00000000" w:rsidRPr="00000000">
              <w:rPr>
                <w:color w:val="0e101a"/>
                <w:rtl w:val="0"/>
              </w:rPr>
              <w:t xml:space="preserve">Didelis plakatas arba drobė</w:t>
            </w:r>
          </w:p>
          <w:p w:rsidR="00000000" w:rsidDel="00000000" w:rsidP="00000000" w:rsidRDefault="00000000" w:rsidRPr="00000000" w14:paraId="00000061">
            <w:pPr>
              <w:numPr>
                <w:ilvl w:val="0"/>
                <w:numId w:val="4"/>
              </w:numPr>
              <w:ind w:left="1440" w:hanging="360"/>
              <w:jc w:val="both"/>
              <w:rPr>
                <w:rFonts w:ascii="Calibri" w:cs="Calibri" w:eastAsia="Calibri" w:hAnsi="Calibri"/>
                <w:color w:val="0e101a"/>
              </w:rPr>
            </w:pPr>
            <w:r w:rsidDel="00000000" w:rsidR="00000000" w:rsidRPr="00000000">
              <w:rPr>
                <w:color w:val="0e101a"/>
                <w:rtl w:val="0"/>
              </w:rPr>
              <w:t xml:space="preserve">Markeriai arba rašikliai</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numPr>
                <w:ilvl w:val="0"/>
                <w:numId w:val="2"/>
              </w:numPr>
              <w:spacing w:line="360" w:lineRule="auto"/>
              <w:ind w:left="720" w:hanging="360"/>
              <w:rPr>
                <w:color w:val="0e101a"/>
                <w:u w:val="none"/>
              </w:rPr>
            </w:pPr>
            <w:r w:rsidDel="00000000" w:rsidR="00000000" w:rsidRPr="00000000">
              <w:rPr>
                <w:color w:val="0e101a"/>
                <w:rtl w:val="0"/>
              </w:rPr>
              <w:t xml:space="preserve">Surinkite ir peržiūrėkite senus žurnalus ir laikraščius įvairiomis kalbomis.</w:t>
            </w:r>
          </w:p>
          <w:p w:rsidR="00000000" w:rsidDel="00000000" w:rsidP="00000000" w:rsidRDefault="00000000" w:rsidRPr="00000000" w14:paraId="00000066">
            <w:pPr>
              <w:numPr>
                <w:ilvl w:val="0"/>
                <w:numId w:val="2"/>
              </w:numPr>
              <w:spacing w:line="360" w:lineRule="auto"/>
              <w:ind w:left="720" w:hanging="360"/>
              <w:rPr>
                <w:color w:val="0e101a"/>
                <w:u w:val="none"/>
              </w:rPr>
            </w:pPr>
            <w:r w:rsidDel="00000000" w:rsidR="00000000" w:rsidRPr="00000000">
              <w:rPr>
                <w:color w:val="0e101a"/>
                <w:rtl w:val="0"/>
              </w:rPr>
              <w:t xml:space="preserve">Pasirinkite puslapius ar teksto dalis, kurios jums atrodo patrauklios, įdomios ar reikšmingos. Tada pasirinkite žodžius, frazes ar sakinius, kurie patraukia jūsų dėmesį. Ieškokite skirtingų kalbų, šriftų ir vaizdinių elementų. Nesijaudinkite, jei nesuprantate visų žodžių, sutelkite dėmesį į tekstų tyrinėjimą ir estetiką bei kalbų įvairovę.</w:t>
            </w:r>
          </w:p>
          <w:p w:rsidR="00000000" w:rsidDel="00000000" w:rsidP="00000000" w:rsidRDefault="00000000" w:rsidRPr="00000000" w14:paraId="00000067">
            <w:pPr>
              <w:numPr>
                <w:ilvl w:val="0"/>
                <w:numId w:val="2"/>
              </w:numPr>
              <w:spacing w:line="360" w:lineRule="auto"/>
              <w:ind w:left="720" w:hanging="360"/>
              <w:rPr>
                <w:color w:val="0e101a"/>
                <w:u w:val="none"/>
              </w:rPr>
            </w:pPr>
            <w:r w:rsidDel="00000000" w:rsidR="00000000" w:rsidRPr="00000000">
              <w:rPr>
                <w:color w:val="0e101a"/>
                <w:rtl w:val="0"/>
              </w:rPr>
              <w:t xml:space="preserve">Paimkite didelį plakatą ar drobę koliažo darymui. Naudokite žirkles, iškirpkite pasirinktus žodžius ir frazes. Pasirinkite įvairias kalbas. Iškirptus žodžius ir frazes išdėstykite ir priklijuokite ant drobės, sukurdami meninę kompoziciją. Žaiskite su išdėstymu, išlaisvinkite savo kūrybiškumą ir apsvarstykite įvairius spalvų derinius, sluoksniavimą ir skirtingų kalbų sutapimą.</w:t>
            </w:r>
          </w:p>
          <w:p w:rsidR="00000000" w:rsidDel="00000000" w:rsidP="00000000" w:rsidRDefault="00000000" w:rsidRPr="00000000" w14:paraId="00000068">
            <w:pPr>
              <w:numPr>
                <w:ilvl w:val="0"/>
                <w:numId w:val="2"/>
              </w:numPr>
              <w:spacing w:line="360" w:lineRule="auto"/>
              <w:ind w:left="720" w:hanging="360"/>
              <w:rPr>
                <w:color w:val="0e101a"/>
                <w:u w:val="none"/>
              </w:rPr>
            </w:pPr>
            <w:r w:rsidDel="00000000" w:rsidR="00000000" w:rsidRPr="00000000">
              <w:rPr>
                <w:color w:val="0e101a"/>
                <w:rtl w:val="0"/>
              </w:rPr>
              <w:t xml:space="preserve">Tai atlikę raštu reflektuokite savo meninę kompoziciją, kylančias asociacijas. Mintis ar istorijas, kurios būtų susijusios su pavaizduotais žodžiais ir kultūromis. Pasirinkite pageidaujamą kalbą ir ja kalbėdami pasidalykite mintimis, emocijomis ar asmeniniais ryšiais apie kitas, koliaže esančias kalbas.</w:t>
            </w:r>
          </w:p>
          <w:p w:rsidR="00000000" w:rsidDel="00000000" w:rsidP="00000000" w:rsidRDefault="00000000" w:rsidRPr="00000000" w14:paraId="00000069">
            <w:pPr>
              <w:spacing w:after="0" w:line="360" w:lineRule="auto"/>
              <w:ind w:left="0" w:firstLine="0"/>
              <w:rPr>
                <w:color w:val="0e101a"/>
              </w:rPr>
            </w:pP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keepNext w:val="1"/>
        <w:keepLines w:val="1"/>
        <w:spacing w:after="0" w:before="240" w:line="276" w:lineRule="auto"/>
        <w:rPr/>
      </w:pPr>
      <w:bookmarkStart w:colFirst="0" w:colLast="0" w:name="_heading=h.2et92p0" w:id="0"/>
      <w:bookmarkEnd w:id="0"/>
      <w:r w:rsidDel="00000000" w:rsidR="00000000" w:rsidRPr="00000000">
        <w:rPr>
          <w:rtl w:val="0"/>
        </w:rPr>
        <w:t xml:space="preserve">Papildoma mokymosi medžiaga</w:t>
      </w:r>
    </w:p>
    <w:p w:rsidR="00000000" w:rsidDel="00000000" w:rsidP="00000000" w:rsidRDefault="00000000" w:rsidRPr="00000000" w14:paraId="0000006F">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rFonts w:ascii="Quattrocento Sans" w:cs="Quattrocento Sans" w:eastAsia="Quattrocento Sans" w:hAnsi="Quattrocento Sans"/>
          <w:b w:val="1"/>
          <w:sz w:val="24"/>
          <w:szCs w:val="24"/>
          <w:u w:val="single"/>
          <w:rtl w:val="0"/>
        </w:rPr>
        <w:t xml:space="preserve">daugiakalbystės kompetencijos ugdymu pasitelkiant meno disciplinas.</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w:t>
      </w:r>
    </w:p>
    <w:p w:rsidR="00000000" w:rsidDel="00000000" w:rsidP="00000000" w:rsidRDefault="00000000" w:rsidRPr="00000000" w14:paraId="00000070">
      <w:pPr>
        <w:spacing w:line="360" w:lineRule="auto"/>
        <w:jc w:val="both"/>
        <w:rPr>
          <w:sz w:val="24"/>
          <w:szCs w:val="24"/>
        </w:rPr>
      </w:pPr>
      <w:r w:rsidDel="00000000" w:rsidR="00000000" w:rsidRPr="00000000">
        <w:rPr>
          <w:rtl w:val="0"/>
        </w:rPr>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71">
            <w:pPr>
              <w:spacing w:after="120" w:before="120" w:line="276" w:lineRule="auto"/>
              <w:jc w:val="center"/>
              <w:rPr>
                <w:rFonts w:ascii="Calibri" w:cs="Calibri" w:eastAsia="Calibri" w:hAnsi="Calibri"/>
                <w:b w:val="1"/>
                <w:color w:val="ffffff"/>
              </w:rPr>
            </w:pPr>
            <w:bookmarkStart w:colFirst="0" w:colLast="0" w:name="_heading=h.tyjcwt" w:id="1"/>
            <w:bookmarkEnd w:id="1"/>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72">
            <w:pPr>
              <w:spacing w:after="120" w:before="120" w:line="276" w:lineRule="auto"/>
              <w:jc w:val="both"/>
              <w:rPr>
                <w:rFonts w:ascii="Calibri" w:cs="Calibri" w:eastAsia="Calibri" w:hAnsi="Calibri"/>
                <w:color w:val="000000"/>
              </w:rPr>
            </w:pPr>
            <w:r w:rsidDel="00000000" w:rsidR="00000000" w:rsidRPr="00000000">
              <w:rPr>
                <w:rtl w:val="0"/>
              </w:rPr>
              <w:t xml:space="preserve">Kaip naudoti filmus ir televiziją kalbos mokymuisi</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73">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p w:rsidR="00000000" w:rsidDel="00000000" w:rsidP="00000000" w:rsidRDefault="00000000" w:rsidRPr="00000000" w14:paraId="00000074">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Būdai, kaip naudoti filmus ir televiziją kalbos lavinimui</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75">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76">
            <w:pPr>
              <w:spacing w:after="120" w:before="120" w:line="276" w:lineRule="auto"/>
              <w:jc w:val="both"/>
              <w:rPr>
                <w:rFonts w:ascii="Calibri" w:cs="Calibri" w:eastAsia="Calibri" w:hAnsi="Calibri"/>
                <w:color w:val="000000"/>
              </w:rPr>
            </w:pPr>
            <w:r w:rsidDel="00000000" w:rsidR="00000000" w:rsidRPr="00000000">
              <w:rPr>
                <w:rtl w:val="0"/>
              </w:rPr>
              <w:t xml:space="preserve">Straipsnyje nagrinėjama, kaip televizijos laidų ir filmų žiūrėjimas užsienio kalbomis gali būti veiksminga kalbos lavinimo priemonė. Pabrėžiami kalbos, konteksto ir vaizdinių užuominų naudojimo pranašumai, siekiant pagerinti klausymo ir supratimo įgūdžius. Taip pat rekomenduojama televizijos ar filmų žiūrėjimo metu įtraukti subtitrus, kad kalbų mokymosi patirtis būtų įtraukesnė ir veiksmingesnė.</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77">
            <w:pPr>
              <w:spacing w:after="120" w:before="120" w:line="276" w:lineRule="auto"/>
              <w:jc w:val="center"/>
              <w:rPr>
                <w:rFonts w:ascii="Calibri" w:cs="Calibri" w:eastAsia="Calibri" w:hAnsi="Calibri"/>
                <w:b w:val="1"/>
                <w:color w:val="ffffff"/>
              </w:rPr>
            </w:pPr>
            <w:bookmarkStart w:colFirst="0" w:colLast="0" w:name="_heading=h.3dy6vkm" w:id="2"/>
            <w:bookmarkEnd w:id="2"/>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78">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pPr>
            <w:r w:rsidDel="00000000" w:rsidR="00000000" w:rsidRPr="00000000">
              <w:rPr>
                <w:rtl w:val="0"/>
              </w:rPr>
              <w:t xml:space="preserve">Skaitydami šį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Duolingo“ straipsnį įgysite vertingų įžvalgų apie filmų ir kalbų mokymosi procesą.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Duolingo” – pirmaujanti švietimo technologijų įmonė, teikianti mokymosi per programėlę paslaugas ir kalbos sertifikatus.</w:t>
            </w:r>
          </w:p>
        </w:tc>
      </w:tr>
      <w:tr>
        <w:trPr>
          <w:cantSplit w:val="0"/>
          <w:trHeight w:val="55" w:hRule="atLeast"/>
          <w:tblHeader w:val="0"/>
        </w:trPr>
        <w:tc>
          <w:tcPr>
            <w:shd w:fill="ed7d31" w:val="clear"/>
          </w:tcPr>
          <w:p w:rsidR="00000000" w:rsidDel="00000000" w:rsidP="00000000" w:rsidRDefault="00000000" w:rsidRPr="00000000" w14:paraId="0000007A">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7B">
            <w:pPr>
              <w:spacing w:after="120" w:before="120" w:line="276" w:lineRule="auto"/>
              <w:jc w:val="both"/>
              <w:rPr>
                <w:rFonts w:ascii="Calibri" w:cs="Calibri" w:eastAsia="Calibri" w:hAnsi="Calibri"/>
                <w:color w:val="000000"/>
              </w:rPr>
            </w:pPr>
            <w:hyperlink r:id="rId18">
              <w:r w:rsidDel="00000000" w:rsidR="00000000" w:rsidRPr="00000000">
                <w:rPr>
                  <w:color w:val="1155cc"/>
                  <w:u w:val="single"/>
                  <w:rtl w:val="0"/>
                </w:rPr>
                <w:t xml:space="preserve">https://blog.duolingo.com/language-practice-with-tv-movies/</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7C">
      <w:pPr>
        <w:spacing w:line="276" w:lineRule="auto"/>
        <w:jc w:val="both"/>
        <w:rPr/>
      </w:pPr>
      <w:r w:rsidDel="00000000" w:rsidR="00000000" w:rsidRPr="00000000">
        <w:rPr>
          <w:rtl w:val="0"/>
        </w:rPr>
      </w:r>
    </w:p>
    <w:p w:rsidR="00000000" w:rsidDel="00000000" w:rsidP="00000000" w:rsidRDefault="00000000" w:rsidRPr="00000000" w14:paraId="0000007D">
      <w:pPr>
        <w:spacing w:line="276" w:lineRule="auto"/>
        <w:jc w:val="both"/>
        <w:rPr/>
      </w:pP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7E">
            <w:pPr>
              <w:spacing w:after="120" w:before="120" w:line="276" w:lineRule="auto"/>
              <w:jc w:val="center"/>
              <w:rPr>
                <w:rFonts w:ascii="Calibri" w:cs="Calibri" w:eastAsia="Calibri" w:hAnsi="Calibri"/>
                <w:b w:val="1"/>
                <w:color w:val="ffffff"/>
              </w:rPr>
            </w:pPr>
            <w:bookmarkStart w:colFirst="0" w:colLast="0" w:name="_heading=h.tyjcwt" w:id="1"/>
            <w:bookmarkEnd w:id="1"/>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7F">
            <w:pPr>
              <w:spacing w:after="120" w:before="120" w:line="276" w:lineRule="auto"/>
              <w:jc w:val="both"/>
              <w:rPr>
                <w:rFonts w:ascii="Calibri" w:cs="Calibri" w:eastAsia="Calibri" w:hAnsi="Calibri"/>
                <w:color w:val="000000"/>
              </w:rPr>
            </w:pPr>
            <w:r w:rsidDel="00000000" w:rsidR="00000000" w:rsidRPr="00000000">
              <w:rPr>
                <w:rtl w:val="0"/>
              </w:rPr>
              <w:t xml:space="preserve">Mokykitės kalbos per muziką: mokslas ir geriausios dainos pradedantiesiems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0">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p w:rsidR="00000000" w:rsidDel="00000000" w:rsidP="00000000" w:rsidRDefault="00000000" w:rsidRPr="00000000" w14:paraId="00000081">
            <w:pPr>
              <w:spacing w:after="120" w:before="120" w:line="276" w:lineRule="auto"/>
              <w:jc w:val="both"/>
              <w:rPr>
                <w:rFonts w:ascii="Calibri" w:cs="Calibri" w:eastAsia="Calibri" w:hAnsi="Calibri"/>
                <w:color w:val="000000"/>
              </w:rPr>
            </w:pPr>
            <w:r w:rsidDel="00000000" w:rsidR="00000000" w:rsidRPr="00000000">
              <w:rPr>
                <w:rtl w:val="0"/>
              </w:rPr>
              <w:t xml:space="preserve">Kalbos mokymasis per muziką</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2">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83">
            <w:pPr>
              <w:spacing w:after="120" w:before="120" w:line="276" w:lineRule="auto"/>
              <w:jc w:val="both"/>
              <w:rPr>
                <w:rFonts w:ascii="Calibri" w:cs="Calibri" w:eastAsia="Calibri" w:hAnsi="Calibri"/>
                <w:color w:val="000000"/>
              </w:rPr>
            </w:pPr>
            <w:r w:rsidDel="00000000" w:rsidR="00000000" w:rsidRPr="00000000">
              <w:rPr>
                <w:rtl w:val="0"/>
              </w:rPr>
              <w:t xml:space="preserve">Dainavimas gali būti naudingas mokantis kalbos, nes tiek muzika, tiek kalba turi bendrų bruožų, leidžiančių tobulinti kalbą per muziką.</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4">
            <w:pPr>
              <w:spacing w:after="120" w:before="120" w:line="276" w:lineRule="auto"/>
              <w:jc w:val="center"/>
              <w:rPr>
                <w:rFonts w:ascii="Calibri" w:cs="Calibri" w:eastAsia="Calibri" w:hAnsi="Calibri"/>
                <w:b w:val="1"/>
                <w:color w:val="ffffff"/>
              </w:rPr>
            </w:pPr>
            <w:bookmarkStart w:colFirst="0" w:colLast="0" w:name="_heading=h.3dy6vkm" w:id="2"/>
            <w:bookmarkEnd w:id="2"/>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85">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t xml:space="preserve">Šaltinyje pabrėžiami muzikos, kaip galingos kalbos mokymosi priemonės, naudojimo pranašumai. Muzika padeda besimokantiesiems pagerinti tarimą, žodyną ir kalbos sklandumą derinant melodiją ir ritmą su kalbiniais elementais. Straipsnyje taip pat teigiama, kad mokymasis per muziką skatina kultūrinį supratimą, stiprina motyvaciją ir daro kalbų mokymosi patirtį malonia ir patrauklia.</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7">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tl w:val="0"/>
              </w:rPr>
            </w:r>
          </w:p>
        </w:tc>
        <w:tc>
          <w:tcPr/>
          <w:p w:rsidR="00000000" w:rsidDel="00000000" w:rsidP="00000000" w:rsidRDefault="00000000" w:rsidRPr="00000000" w14:paraId="00000088">
            <w:pPr>
              <w:spacing w:after="120" w:before="120" w:line="276" w:lineRule="auto"/>
              <w:jc w:val="both"/>
              <w:rPr>
                <w:rFonts w:ascii="Calibri" w:cs="Calibri" w:eastAsia="Calibri" w:hAnsi="Calibri"/>
                <w:color w:val="000000"/>
              </w:rPr>
            </w:pPr>
            <w:hyperlink r:id="rId19">
              <w:r w:rsidDel="00000000" w:rsidR="00000000" w:rsidRPr="00000000">
                <w:rPr>
                  <w:color w:val="1155cc"/>
                  <w:u w:val="single"/>
                  <w:rtl w:val="0"/>
                </w:rPr>
                <w:t xml:space="preserve">https://lingopie.com/blog/learning-language-through-music/</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9">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5" name="image6.png"/>
            <a:graphic>
              <a:graphicData uri="http://schemas.openxmlformats.org/drawingml/2006/picture">
                <pic:pic>
                  <pic:nvPicPr>
                    <pic:cNvPr descr="Timeline&#10;&#10;Description automatically generated" id="0" name="image6.png"/>
                    <pic:cNvPicPr preferRelativeResize="0"/>
                  </pic:nvPicPr>
                  <pic:blipFill>
                    <a:blip r:embed="rId20"/>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7585869</wp:posOffset>
            </wp:positionV>
            <wp:extent cx="3000375" cy="648010"/>
            <wp:effectExtent b="0" l="0" r="0" t="0"/>
            <wp:wrapNone/>
            <wp:docPr id="29"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3000375" cy="64801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7277100</wp:posOffset>
                </wp:positionV>
                <wp:extent cx="3486150" cy="1257300"/>
                <wp:effectExtent b="0" l="0" r="0" t="0"/>
                <wp:wrapNone/>
                <wp:docPr id="26"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7277100</wp:posOffset>
                </wp:positionV>
                <wp:extent cx="3486150" cy="1257300"/>
                <wp:effectExtent b="0" l="0" r="0" t="0"/>
                <wp:wrapNone/>
                <wp:docPr id="26"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3486150" cy="1257300"/>
                        </a:xfrm>
                        <a:prstGeom prst="rect"/>
                        <a:ln/>
                      </pic:spPr>
                    </pic:pic>
                  </a:graphicData>
                </a:graphic>
              </wp:anchor>
            </w:drawing>
          </mc:Fallback>
        </mc:AlternateContent>
      </w:r>
    </w:p>
    <w:sectPr>
      <w:headerReference r:id="rId23" w:type="first"/>
      <w:footerReference r:id="rId24"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ebas Neue">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7"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0"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34" name="image5.png"/>
          <a:graphic>
            <a:graphicData uri="http://schemas.openxmlformats.org/drawingml/2006/picture">
              <pic:pic>
                <pic:nvPicPr>
                  <pic:cNvPr descr="A picture containing icon&#10;&#10;Description automatically generated" id="0" name="image5.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paragraph" w:styleId="TOC2">
    <w:name w:val="toc 2"/>
    <w:basedOn w:val="Normal"/>
    <w:next w:val="Normal"/>
    <w:autoRedefine w:val="1"/>
    <w:uiPriority w:val="39"/>
    <w:unhideWhenUsed w:val="1"/>
    <w:rsid w:val="001620AE"/>
    <w:pPr>
      <w:spacing w:after="100"/>
      <w:ind w:left="220"/>
    </w:pPr>
  </w:style>
  <w:style w:type="character" w:styleId="Hyperlink">
    <w:name w:val="Hyperlink"/>
    <w:basedOn w:val="DefaultParagraphFont"/>
    <w:uiPriority w:val="99"/>
    <w:unhideWhenUsed w:val="1"/>
    <w:rsid w:val="001620AE"/>
    <w:rPr>
      <w:color w:val="0563c1" w:themeColor="hyperlink"/>
      <w:u w:val="single"/>
    </w:rPr>
  </w:style>
  <w:style w:type="paragraph" w:styleId="TOCHeading">
    <w:name w:val="TOC Heading"/>
    <w:basedOn w:val="Heading1"/>
    <w:next w:val="Normal"/>
    <w:uiPriority w:val="39"/>
    <w:unhideWhenUsed w:val="1"/>
    <w:qFormat w:val="1"/>
    <w:rsid w:val="001620AE"/>
    <w:pPr>
      <w:spacing w:line="259" w:lineRule="auto"/>
      <w:outlineLvl w:val="9"/>
    </w:pPr>
    <w:rPr>
      <w:color w:val="2f5496" w:themeColor="accent1" w:themeShade="0000BF"/>
      <w:lang w:val="en-US"/>
    </w:rPr>
  </w:style>
  <w:style w:type="paragraph" w:styleId="ListParagraph">
    <w:name w:val="List Paragraph"/>
    <w:basedOn w:val="Normal"/>
    <w:uiPriority w:val="34"/>
    <w:qFormat w:val="1"/>
    <w:rsid w:val="001620AE"/>
    <w:pPr>
      <w:ind w:left="720"/>
      <w:contextualSpacing w:val="1"/>
    </w:pPr>
  </w:style>
  <w:style w:type="table" w:styleId="TableGrid3" w:customStyle="1">
    <w:name w:val="Table Grid3"/>
    <w:basedOn w:val="TableNormal"/>
    <w:next w:val="TableGrid"/>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9.png"/><Relationship Id="rId22" Type="http://schemas.openxmlformats.org/officeDocument/2006/relationships/image" Target="media/image11.png"/><Relationship Id="rId10" Type="http://schemas.openxmlformats.org/officeDocument/2006/relationships/footer" Target="footer1.xml"/><Relationship Id="rId21" Type="http://schemas.openxmlformats.org/officeDocument/2006/relationships/image" Target="media/image10.jpg"/><Relationship Id="rId13" Type="http://schemas.openxmlformats.org/officeDocument/2006/relationships/image" Target="media/image1.png"/><Relationship Id="rId24" Type="http://schemas.openxmlformats.org/officeDocument/2006/relationships/footer" Target="footer3.xml"/><Relationship Id="rId12" Type="http://schemas.openxmlformats.org/officeDocument/2006/relationships/image" Target="media/image13.png"/><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image" Target="media/image3.jp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yperlink" Target="https://lingopie.com/blog/learning-language-through-music/" TargetMode="External"/><Relationship Id="rId6" Type="http://schemas.openxmlformats.org/officeDocument/2006/relationships/customXml" Target="../customXML/item1.xml"/><Relationship Id="rId18" Type="http://schemas.openxmlformats.org/officeDocument/2006/relationships/hyperlink" Target="https://blog.duolingo.com/language-practice-with-tv-movies/"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VB8mj07LUaIxuEEYBCucgSgdDw==">CgMxLjAyCWguMmV0OTJwMDIIaC50eWpjd3QyCWguM2R5NnZrbTIIaC50eWpjd3QyCWguM2R5NnZrbTgAciExVTNuM3I2VWh6eWdTdXZ5OTd0YUIzRUZxaGs5OGZLUUE=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