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876300</wp:posOffset>
                </wp:positionH>
                <wp:positionV relativeFrom="paragraph">
                  <wp:posOffset>1582420</wp:posOffset>
                </wp:positionV>
                <wp:extent cx="5081905" cy="2264849"/>
                <wp:effectExtent b="0" l="0" r="0" t="0"/>
                <wp:wrapSquare wrapText="bothSides" distB="45720" distT="45720" distL="114300" distR="114300"/>
                <wp:docPr id="11" name=""/>
                <a:graphic>
                  <a:graphicData uri="http://schemas.microsoft.com/office/word/2010/wordprocessingShape">
                    <wps:wsp>
                      <wps:cNvSpPr/>
                      <wps:cNvPr id="2" name="Shape 2"/>
                      <wps:spPr>
                        <a:xfrm>
                          <a:off x="2814575" y="2443950"/>
                          <a:ext cx="6028800" cy="26721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Asmeniniai, socialiniai ir mokymosi mokytis (angl. L2L) gebėjimai ir kultūrinė tema</w:t>
                            </w:r>
                            <w:r w:rsidDel="00000000" w:rsidR="00000000" w:rsidRPr="00000000">
                              <w:rPr>
                                <w:rFonts w:ascii="Bebas Neue" w:cs="Bebas Neue" w:eastAsia="Bebas Neue" w:hAnsi="Bebas Neue"/>
                                <w:b w:val="0"/>
                                <w:i w:val="0"/>
                                <w:smallCaps w:val="0"/>
                                <w:strike w:val="0"/>
                                <w:color w:val="f5b335"/>
                                <w:sz w:val="72"/>
                                <w:vertAlign w:val="baseline"/>
                              </w:rPr>
                              <w:t xml:space="preserve">tika</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Vadovas suaugusiųjų švietėjams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876300</wp:posOffset>
                </wp:positionH>
                <wp:positionV relativeFrom="paragraph">
                  <wp:posOffset>1582420</wp:posOffset>
                </wp:positionV>
                <wp:extent cx="5081905" cy="2264849"/>
                <wp:effectExtent b="0" l="0" r="0" t="0"/>
                <wp:wrapSquare wrapText="bothSides" distB="45720" distT="45720" distL="114300" distR="114300"/>
                <wp:docPr id="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081905" cy="2264849"/>
                        </a:xfrm>
                        <a:prstGeom prst="rect"/>
                        <a:ln/>
                      </pic:spPr>
                    </pic:pic>
                  </a:graphicData>
                </a:graphic>
              </wp:anchor>
            </w:drawing>
          </mc:Fallback>
        </mc:AlternateContent>
      </w:r>
    </w:p>
    <w:p w:rsidR="00000000" w:rsidDel="00000000" w:rsidP="00000000" w:rsidRDefault="00000000" w:rsidRPr="00000000" w14:paraId="00000002">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-932810</wp:posOffset>
            </wp:positionH>
            <wp:positionV relativeFrom="margin">
              <wp:posOffset>-953767</wp:posOffset>
            </wp:positionV>
            <wp:extent cx="7625715" cy="10782300"/>
            <wp:effectExtent b="0" l="0" r="0" t="0"/>
            <wp:wrapSquare wrapText="bothSides" distB="0" distT="0" distL="114300" distR="114300"/>
            <wp:docPr descr="Shape&#10;&#10;Description automatically generated" id="13" name="image2.png"/>
            <a:graphic>
              <a:graphicData uri="http://schemas.openxmlformats.org/drawingml/2006/picture">
                <pic:pic>
                  <pic:nvPicPr>
                    <pic:cNvPr descr="Shape&#10;&#10;Description automatically generated" id="0" name="image2.png"/>
                    <pic:cNvPicPr preferRelativeResize="0"/>
                  </pic:nvPicPr>
                  <pic:blipFill>
                    <a:blip r:embed="rId8"/>
                    <a:srcRect b="0" l="0" r="0" t="0"/>
                    <a:stretch>
                      <a:fillRect/>
                    </a:stretch>
                  </pic:blipFill>
                  <pic:spPr>
                    <a:xfrm>
                      <a:off x="0" y="0"/>
                      <a:ext cx="7625715" cy="1078230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1"/>
        <w:keepLines w:val="1"/>
        <w:tabs>
          <w:tab w:val="left" w:leader="none" w:pos="5341"/>
        </w:tabs>
        <w:spacing w:after="0" w:before="40" w:lineRule="auto"/>
        <w:jc w:val="center"/>
        <w:rPr>
          <w:rFonts w:ascii="Bebas Neue" w:cs="Bebas Neue" w:eastAsia="Bebas Neue" w:hAnsi="Bebas Neue"/>
          <w:color w:val="f5b335"/>
          <w:sz w:val="24"/>
          <w:szCs w:val="24"/>
        </w:rPr>
      </w:pPr>
      <w:r w:rsidDel="00000000" w:rsidR="00000000" w:rsidRPr="00000000">
        <w:rPr>
          <w:rFonts w:ascii="Bebas Neue" w:cs="Bebas Neue" w:eastAsia="Bebas Neue" w:hAnsi="Bebas Neue"/>
          <w:color w:val="f5b335"/>
          <w:sz w:val="48"/>
          <w:szCs w:val="48"/>
          <w:rtl w:val="0"/>
        </w:rPr>
        <w:br w:type="textWrapping"/>
        <w:t xml:space="preserve">Mikromokymosi ištekliai, skirti mažiau įgūdžių turinčių suaugusiųjų įtraukimui į švietimo sistemą ir mokymą(si).</w:t>
        <w:br w:type="textWrapping"/>
      </w: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Rule="auto"/>
        <w:rPr>
          <w:rFonts w:ascii="Bebas Neue" w:cs="Bebas Neue" w:eastAsia="Bebas Neue" w:hAnsi="Bebas Neue"/>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rPr>
          <w:rFonts w:ascii="Quattrocento Sans" w:cs="Quattrocento Sans" w:eastAsia="Quattrocento Sans" w:hAnsi="Quattrocento Sans"/>
          <w:sz w:val="2"/>
          <w:szCs w:val="2"/>
        </w:rPr>
      </w:pPr>
      <w:r w:rsidDel="00000000" w:rsidR="00000000" w:rsidRPr="00000000">
        <w:rPr>
          <w:rtl w:val="0"/>
        </w:rPr>
      </w:r>
    </w:p>
    <w:p w:rsidR="00000000" w:rsidDel="00000000" w:rsidP="00000000" w:rsidRDefault="00000000" w:rsidRPr="00000000" w14:paraId="00000007">
      <w:pPr>
        <w:spacing w:line="360" w:lineRule="auto"/>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suaugusiais besimokančiaisiais, turinčiais įvairių poreikių, naudotis vaizdo įrašų ištekliais ir užduočių lapais, pateiktais mikromokymosi išteklių rinkinyje, siekiant iš naujo įtraukti mažiau įgūdžių turinčius suaugusius savo mokymo centruose ir bendruomenėse veiklų aprašymai yra pateikti Mikrošvietimo išteklių rinkinyje.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r w:rsidDel="00000000" w:rsidR="00000000" w:rsidRPr="00000000">
        <w:rPr>
          <w:rtl w:val="0"/>
        </w:rPr>
      </w:r>
    </w:p>
    <w:p w:rsidR="00000000" w:rsidDel="00000000" w:rsidP="00000000" w:rsidRDefault="00000000" w:rsidRPr="00000000" w14:paraId="00000008">
      <w:pPr>
        <w:spacing w:line="360" w:lineRule="auto"/>
        <w:rPr>
          <w:rFonts w:ascii="Quattrocento Sans" w:cs="Quattrocento Sans" w:eastAsia="Quattrocento Sans" w:hAnsi="Quattrocento Sans"/>
          <w:i w:val="1"/>
          <w:sz w:val="14"/>
          <w:szCs w:val="14"/>
        </w:rPr>
      </w:pPr>
      <w:r w:rsidDel="00000000" w:rsidR="00000000" w:rsidRPr="00000000">
        <w:rPr>
          <w:rFonts w:ascii="Quattrocento Sans" w:cs="Quattrocento Sans" w:eastAsia="Quattrocento Sans" w:hAnsi="Quattrocento Sans"/>
          <w:sz w:val="24"/>
          <w:szCs w:val="24"/>
          <w:rtl w:val="0"/>
        </w:rPr>
        <w:t xml:space="preserve">Šio vadovo tema susijusi su šiuo vaizdo įrašu:</w:t>
      </w:r>
      <w:r w:rsidDel="00000000" w:rsidR="00000000" w:rsidRPr="00000000">
        <w:rPr>
          <w:rFonts w:ascii="Quattrocento Sans" w:cs="Quattrocento Sans" w:eastAsia="Quattrocento Sans" w:hAnsi="Quattrocento Sans"/>
          <w:b w:val="1"/>
          <w:color w:val="000000"/>
          <w:sz w:val="24"/>
          <w:szCs w:val="24"/>
          <w:rtl w:val="0"/>
        </w:rPr>
        <w:t xml:space="preserve"> </w:t>
      </w:r>
      <w:r w:rsidDel="00000000" w:rsidR="00000000" w:rsidRPr="00000000">
        <w:rPr>
          <w:rFonts w:ascii="Quattrocento Sans" w:cs="Quattrocento Sans" w:eastAsia="Quattrocento Sans" w:hAnsi="Quattrocento Sans"/>
          <w:b w:val="1"/>
          <w:i w:val="1"/>
          <w:sz w:val="24"/>
          <w:szCs w:val="24"/>
          <w:rtl w:val="0"/>
        </w:rPr>
        <w:t xml:space="preserve">Asmeniniai, socialiniai ir mokymosi mokytis (angl. L2L) gebėjimai ir kultūrinė tematika</w:t>
      </w:r>
      <w:r w:rsidDel="00000000" w:rsidR="00000000" w:rsidRPr="00000000">
        <w:rPr>
          <w:rFonts w:ascii="Quattrocento Sans" w:cs="Quattrocento Sans" w:eastAsia="Quattrocento Sans" w:hAnsi="Quattrocento Sans"/>
          <w:i w:val="1"/>
          <w:sz w:val="24"/>
          <w:szCs w:val="24"/>
          <w:rtl w:val="0"/>
        </w:rPr>
        <w:br w:type="textWrapping"/>
      </w:r>
      <w:r w:rsidDel="00000000" w:rsidR="00000000" w:rsidRPr="00000000">
        <w:rPr>
          <w:rtl w:val="0"/>
        </w:rPr>
      </w:r>
    </w:p>
    <w:p w:rsidR="00000000" w:rsidDel="00000000" w:rsidP="00000000" w:rsidRDefault="00000000" w:rsidRPr="00000000" w14:paraId="00000009">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color w:val="ffc000"/>
          <w:sz w:val="24"/>
          <w:szCs w:val="24"/>
          <w:rtl w:val="0"/>
        </w:rPr>
        <w:t xml:space="preserve">Įvadas į temą </w:t>
      </w:r>
      <w:r w:rsidDel="00000000" w:rsidR="00000000" w:rsidRPr="00000000">
        <w:rPr>
          <w:rFonts w:ascii="Quattrocento Sans" w:cs="Quattrocento Sans" w:eastAsia="Quattrocento Sans" w:hAnsi="Quattrocento Sans"/>
          <w:sz w:val="24"/>
          <w:szCs w:val="24"/>
          <w:rtl w:val="0"/>
        </w:rPr>
        <w:br w:type="textWrapping"/>
        <w:t xml:space="preserve">Norint orientuotis pasaulyje, kuris darosi vis įvairesnis ir labiau tarpusavyje susijęs, būtina kultūrinė kompetencija, asmeninė socialinė kompetencija ir mokymosi mokytis kompetencija. Mažiau įgūdžių turintys suaugusieji besimokantieji turi galimybę pasinaudoti šiomis priemonėmis, kad įdomiai ir produktyviai ištirtų kultūrų įvairovės, tarpkultūrinio dialogo ir asmeninio tobulėjimo vertę. Ugdydami šias kompetencijas besimokantieji pagerina savo gebėjimus bendradarbiauti, bendrauti ir klestėti įvairiuose socialiniuose ir švietimo kontekstuose.</w:t>
      </w:r>
    </w:p>
    <w:p w:rsidR="00000000" w:rsidDel="00000000" w:rsidP="00000000" w:rsidRDefault="00000000" w:rsidRPr="00000000" w14:paraId="0000000A">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B">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br w:type="textWrapping"/>
        <w:t xml:space="preserve">Įvadas į veiklą </w:t>
      </w:r>
    </w:p>
    <w:p w:rsidR="00000000" w:rsidDel="00000000" w:rsidP="00000000" w:rsidRDefault="00000000" w:rsidRPr="00000000" w14:paraId="0000000C">
      <w:pPr>
        <w:rPr>
          <w:sz w:val="6"/>
          <w:szCs w:val="6"/>
        </w:rPr>
      </w:pPr>
      <w:r w:rsidDel="00000000" w:rsidR="00000000" w:rsidRPr="00000000">
        <w:rPr>
          <w:rtl w:val="0"/>
        </w:rPr>
      </w:r>
    </w:p>
    <w:p w:rsidR="00000000" w:rsidDel="00000000" w:rsidP="00000000" w:rsidRDefault="00000000" w:rsidRPr="00000000" w14:paraId="0000000D">
      <w:pPr>
        <w:spacing w:line="360" w:lineRule="auto"/>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24"/>
          <w:szCs w:val="24"/>
          <w:rtl w:val="0"/>
        </w:rPr>
        <w:t xml:space="preserve">Papildoma veikla grindžiama atvejo tyrimu, kuriame nagrinėjamas sudėtingas kultūrinės įvairovės aspektas ir jos poveikis asmeniniam tobulėjimui bei visuomenės dinamikai. Mokiniai susidurs su realiomis situacijomis, kuriose pabrėžiama empatijos, atvirumo ir tarpkultūrinio bendradarbiavimo vertė. Atlikdami šią užduotį mokiniai apsvarstys savo pačių patirtį ir požiūrį, kartu gilindamiesi į įvairius kitus požiūrius.</w:t>
        <w:br w:type="textWrapping"/>
      </w:r>
      <w:r w:rsidDel="00000000" w:rsidR="00000000" w:rsidRPr="00000000">
        <w:rPr>
          <w:rtl w:val="0"/>
        </w:rPr>
      </w:r>
    </w:p>
    <w:p w:rsidR="00000000" w:rsidDel="00000000" w:rsidP="00000000" w:rsidRDefault="00000000" w:rsidRPr="00000000" w14:paraId="0000000E">
      <w:pPr>
        <w:pStyle w:val="Heading2"/>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4"/>
          <w:szCs w:val="24"/>
          <w:rtl w:val="0"/>
        </w:rPr>
        <w:t xml:space="preserve">Šio ištekliaus naudojimas su grupe </w:t>
        <w:br w:type="textWrapping"/>
      </w:r>
      <w:r w:rsidDel="00000000" w:rsidR="00000000" w:rsidRPr="00000000">
        <w:rPr>
          <w:rtl w:val="0"/>
        </w:rPr>
      </w:r>
    </w:p>
    <w:p w:rsidR="00000000" w:rsidDel="00000000" w:rsidP="00000000" w:rsidRDefault="00000000" w:rsidRPr="00000000" w14:paraId="0000000F">
      <w:pPr>
        <w:shd w:fill="ffffff" w:val="clear"/>
        <w:spacing w:after="225"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Norėdami naudoti šį išteklių su besimokančiųjų suaugusiųjų grupėje, rekomenduojame pradėti nuo vaizdo įrašo, kad pristatytumėte jiems </w:t>
      </w:r>
      <w:r w:rsidDel="00000000" w:rsidR="00000000" w:rsidRPr="00000000">
        <w:rPr>
          <w:rFonts w:ascii="Quattrocento Sans" w:cs="Quattrocento Sans" w:eastAsia="Quattrocento Sans" w:hAnsi="Quattrocento Sans"/>
          <w:i w:val="1"/>
          <w:sz w:val="24"/>
          <w:szCs w:val="24"/>
          <w:rtl w:val="0"/>
        </w:rPr>
        <w:t xml:space="preserve">asmeninės, socialinės ir L2L kompetencijas ir kultūrinę tematiką.</w:t>
      </w:r>
      <w:r w:rsidDel="00000000" w:rsidR="00000000" w:rsidRPr="00000000">
        <w:rPr>
          <w:rFonts w:ascii="Quattrocento Sans" w:cs="Quattrocento Sans" w:eastAsia="Quattrocento Sans" w:hAnsi="Quattrocento Sans"/>
          <w:sz w:val="24"/>
          <w:szCs w:val="24"/>
          <w:rtl w:val="0"/>
        </w:rPr>
        <w:t xml:space="preserve"> Šis vaizdo įrašas padės besimokantiesiems suprasti temą prieš pradedant veiklą su dalomąja medžiaga. Įgiję bendrų žinių apie temą, jie galės pradėti vykdyti užduotis</w:t>
      </w: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r w:rsidDel="00000000" w:rsidR="00000000" w:rsidRPr="00000000">
        <w:rPr>
          <w:rFonts w:ascii="Quattrocento Sans" w:cs="Quattrocento Sans" w:eastAsia="Quattrocento Sans" w:hAnsi="Quattrocento Sans"/>
          <w:color w:val="000000"/>
          <w:sz w:val="24"/>
          <w:szCs w:val="24"/>
          <w:rtl w:val="0"/>
        </w:rPr>
        <w:t xml:space="preserve">.</w:t>
      </w:r>
    </w:p>
    <w:p w:rsidR="00000000" w:rsidDel="00000000" w:rsidP="00000000" w:rsidRDefault="00000000" w:rsidRPr="00000000" w14:paraId="00000010">
      <w:pPr>
        <w:keepNext w:val="1"/>
        <w:keepLines w:val="1"/>
        <w:spacing w:after="0" w:before="40" w:line="360" w:lineRule="auto"/>
        <w:jc w:val="both"/>
        <w:rPr>
          <w:rFonts w:ascii="Quattrocento Sans" w:cs="Quattrocento Sans" w:eastAsia="Quattrocento Sans" w:hAnsi="Quattrocento Sans"/>
          <w:sz w:val="2"/>
          <w:szCs w:val="2"/>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Kaip vaizdo medžiaga pagerino jūsų supratimą apie kultūrinę kompetenciją ir jos svarbą šiuolaikiniame pasaulyje?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Apmąstykite savo asmeninę patirtį, kai bendradarbiavote esant kultūriniams skirtumams. Ko išmokote iš šios patirties</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Kaip, jūsų manymu, atvirumas gali teigiamai paveikti jūsų bendravimą su įvairios kilmės asmenimis?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Pasidalykite pavyzdžiu, kai parodėte empatiją kitokiai kultūrai priklausančiam asmeniui. Kaip tai paveikė jūsų požiūrį į kultūrų įvairovę?</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Kokie dalomosios medžiagos užduoties aspektai jums labiausiai patiko ir kaip galėtumėte šias įžvalgas pritaikyti kasdieniame gyvenime?</w:t>
      </w:r>
      <w:r w:rsidDel="00000000" w:rsidR="00000000" w:rsidRPr="00000000">
        <w:rPr>
          <w:rtl w:val="0"/>
        </w:rPr>
      </w:r>
    </w:p>
    <w:p w:rsidR="00000000" w:rsidDel="00000000" w:rsidP="00000000" w:rsidRDefault="00000000" w:rsidRPr="00000000" w14:paraId="00000016">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Šiais apibendrinamaisiais klausimais siekiama paskatinti apgalvotą diskusiją ir paskatinti besimokančiuosius susieti vaizdo įrašo ir užduoties koncepcijas su savo patirtimi ir požiūriu.</w:t>
      </w:r>
    </w:p>
    <w:p w:rsidR="00000000" w:rsidDel="00000000" w:rsidP="00000000" w:rsidRDefault="00000000" w:rsidRPr="00000000" w14:paraId="00000017">
      <w:pPr>
        <w:spacing w:line="360" w:lineRule="auto"/>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018">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-914396</wp:posOffset>
            </wp:positionH>
            <wp:positionV relativeFrom="margin">
              <wp:posOffset>-931542</wp:posOffset>
            </wp:positionV>
            <wp:extent cx="7625715" cy="10765155"/>
            <wp:effectExtent b="0" l="0" r="0" t="0"/>
            <wp:wrapSquare wrapText="bothSides" distB="0" distT="0" distL="114300" distR="114300"/>
            <wp:docPr descr="Timeline&#10;&#10;Description automatically generated" id="14" name="image1.png"/>
            <a:graphic>
              <a:graphicData uri="http://schemas.openxmlformats.org/drawingml/2006/picture">
                <pic:pic>
                  <pic:nvPicPr>
                    <pic:cNvPr descr="Timeline&#10;&#10;Description automatically generated" id="0" name="image1.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7562850</wp:posOffset>
            </wp:positionV>
            <wp:extent cx="3000375" cy="648010"/>
            <wp:effectExtent b="0" l="0" r="0" t="0"/>
            <wp:wrapNone/>
            <wp:docPr id="15"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7305675</wp:posOffset>
                </wp:positionV>
                <wp:extent cx="3486150" cy="1257300"/>
                <wp:effectExtent b="0" l="0" r="0" t="0"/>
                <wp:wrapNone/>
                <wp:docPr id="12" name=""/>
                <a:graphic>
                  <a:graphicData uri="http://schemas.microsoft.com/office/word/2010/wordprocessingShape">
                    <wps:wsp>
                      <wps:cNvSpPr/>
                      <wps:cNvPr id="3" name="Shape 3"/>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7305675</wp:posOffset>
                </wp:positionV>
                <wp:extent cx="3486150" cy="1257300"/>
                <wp:effectExtent b="0" l="0" r="0" t="0"/>
                <wp:wrapNone/>
                <wp:docPr id="1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iEJqsT6Su67p6zMcrRkeA/kwQ==">CgMxLjA4AHIhMTBfVk9EOWxOcGJqY3ozWHF1VnVXOFo0ZjdYQ1NwMFc5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2023-08-31T12:59:00Z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