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E546" w14:textId="7FFAE46A" w:rsidR="00026A45" w:rsidRDefault="00C642B8" w:rsidP="00026A45">
      <w:pPr>
        <w:tabs>
          <w:tab w:val="left" w:pos="900"/>
        </w:tabs>
      </w:pPr>
      <w:r>
        <w:rPr>
          <w:noProof/>
        </w:rPr>
        <w:drawing>
          <wp:anchor distT="0" distB="0" distL="114300" distR="114300" simplePos="0" relativeHeight="251669503" behindDoc="0" locked="0" layoutInCell="1" allowOverlap="1" wp14:anchorId="0F961BAF" wp14:editId="05C1F0F0">
            <wp:simplePos x="0" y="0"/>
            <wp:positionH relativeFrom="margin">
              <wp:posOffset>-932815</wp:posOffset>
            </wp:positionH>
            <wp:positionV relativeFrom="margin">
              <wp:posOffset>-953770</wp:posOffset>
            </wp:positionV>
            <wp:extent cx="7625715" cy="1078230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3B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1178A52" wp14:editId="6CF9C64B">
                <wp:simplePos x="0" y="0"/>
                <wp:positionH relativeFrom="margin">
                  <wp:posOffset>1943735</wp:posOffset>
                </wp:positionH>
                <wp:positionV relativeFrom="paragraph">
                  <wp:posOffset>1617980</wp:posOffset>
                </wp:positionV>
                <wp:extent cx="402590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B33EC" w14:textId="2384A94D" w:rsidR="00EC735C" w:rsidRPr="00C642B8" w:rsidRDefault="009B3B33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F5B335"/>
                                <w:sz w:val="72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IZGRADNJA VIŠEJEZIČNIH KOMPETENCIJA KROZ SPORT</w:t>
                            </w:r>
                          </w:p>
                          <w:p w14:paraId="7C63BC8C" w14:textId="7F3D8B43" w:rsidR="00EC735C" w:rsidRPr="00E502C2" w:rsidRDefault="009B3B33" w:rsidP="00EC735C">
                            <w:pPr>
                              <w:jc w:val="right"/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PRIRUČNIK ZA EDUKATORE ODRASLIH</w:t>
                            </w:r>
                            <w:r w:rsidR="00EC735C" w:rsidRPr="00E502C2">
                              <w:rPr>
                                <w:rFonts w:ascii="Bebas Neue" w:hAnsi="Bebas Neue" w:cs="Segoe UI"/>
                                <w:color w:val="000000" w:themeColor="text1"/>
                                <w:sz w:val="64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178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05pt;margin-top:127.4pt;width:31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+j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" filled="f" stroked="f">
                <v:textbox style="mso-fit-shape-to-text:t">
                  <w:txbxContent>
                    <w:p w14:paraId="28DB33EC" w14:textId="2384A94D" w:rsidR="00EC735C" w:rsidRPr="00C642B8" w:rsidRDefault="009B3B33" w:rsidP="00EC735C">
                      <w:pPr>
                        <w:jc w:val="right"/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F5B335"/>
                          <w:sz w:val="72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IZGRADNJA VIŠEJEZIČNIH KOMPETENCIJA KROZ SPORT</w:t>
                      </w:r>
                    </w:p>
                    <w:p w14:paraId="7C63BC8C" w14:textId="7F3D8B43" w:rsidR="00EC735C" w:rsidRPr="00E502C2" w:rsidRDefault="009B3B33" w:rsidP="00EC735C">
                      <w:pPr>
                        <w:jc w:val="right"/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PRIRUČNIK ZA EDUKATORE ODRASLIH</w:t>
                      </w:r>
                      <w:r w:rsidR="00EC735C" w:rsidRPr="00E502C2">
                        <w:rPr>
                          <w:rFonts w:ascii="Bebas Neue" w:hAnsi="Bebas Neue" w:cs="Segoe UI"/>
                          <w:color w:val="000000" w:themeColor="text1"/>
                          <w:sz w:val="64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889854" w14:textId="77777777" w:rsidR="00C642B8" w:rsidRDefault="00C642B8" w:rsidP="00C642B8">
      <w:pPr>
        <w:pStyle w:val="Naslov2"/>
        <w:tabs>
          <w:tab w:val="left" w:pos="5341"/>
        </w:tabs>
        <w:jc w:val="center"/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</w:pPr>
      <w:r w:rsidRPr="00C642B8">
        <w:rPr>
          <w:rFonts w:ascii="Bebas Neue" w:hAnsi="Bebas Neue" w:cs="Segoe UI"/>
          <w:color w:val="F5B335"/>
          <w:sz w:val="48"/>
          <w:szCs w:val="56"/>
          <w14:textOutline w14:w="9525" w14:cap="rnd" w14:cmpd="sng" w14:algn="ctr">
            <w14:noFill/>
            <w14:prstDash w14:val="solid"/>
            <w14:bevel/>
          </w14:textOutline>
        </w:rPr>
        <w:lastRenderedPageBreak/>
        <w:t>Resursi za mikroučenje za ponovno uključivanje niskokvalificiranih odraslih učenika u obrazovanje i osposobljavanje</w:t>
      </w:r>
    </w:p>
    <w:p w14:paraId="521CA4EE" w14:textId="07FC2CE4" w:rsidR="002B6AE4" w:rsidRDefault="00C642B8" w:rsidP="00C642B8">
      <w:pPr>
        <w:pStyle w:val="Naslov2"/>
        <w:tabs>
          <w:tab w:val="left" w:pos="5341"/>
        </w:tabs>
        <w:rPr>
          <w:rFonts w:ascii="Segoe UI Bold" w:hAnsi="Segoe UI Bold" w:hint="eastAsia"/>
          <w:color w:val="1F2126"/>
          <w:sz w:val="36"/>
          <w:szCs w:val="40"/>
        </w:rPr>
      </w:pPr>
      <w:r>
        <w:rPr>
          <w:rFonts w:ascii="Segoe UI Bold" w:hAnsi="Segoe UI Bold"/>
          <w:color w:val="1F2126"/>
          <w:sz w:val="36"/>
          <w:szCs w:val="40"/>
        </w:rPr>
        <w:t>Priručnik za edukatore odraslih</w:t>
      </w:r>
    </w:p>
    <w:p w14:paraId="7052CDB7" w14:textId="41DCA7B0" w:rsidR="00C642B8" w:rsidRPr="00C642B8" w:rsidRDefault="003A7A5F" w:rsidP="00C642B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Plan učenja</w:t>
      </w:r>
    </w:p>
    <w:p w14:paraId="7F735E78" w14:textId="77DF3EE7" w:rsidR="00C642B8" w:rsidRPr="00490817" w:rsidRDefault="00C642B8" w:rsidP="00C10ADC">
      <w:pPr>
        <w:rPr>
          <w:rFonts w:eastAsia="Times New Roman" w:cstheme="minorHAnsi"/>
          <w:color w:val="000000"/>
          <w:sz w:val="24"/>
          <w:szCs w:val="24"/>
        </w:rPr>
      </w:pPr>
      <w:r w:rsidRPr="00490817">
        <w:rPr>
          <w:rFonts w:eastAsia="Times New Roman" w:cstheme="minorHAnsi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učenicima, s različitim potrebama, da koristite video resurse i listove s aktivnostima koji se nalaze u Paketu resursa za </w:t>
      </w:r>
      <w:proofErr w:type="spellStart"/>
      <w:r w:rsidRPr="00490817">
        <w:rPr>
          <w:rFonts w:eastAsia="Times New Roman" w:cstheme="minorHAnsi"/>
          <w:color w:val="000000"/>
          <w:sz w:val="24"/>
          <w:szCs w:val="24"/>
        </w:rPr>
        <w:t>mikroučenje</w:t>
      </w:r>
      <w:proofErr w:type="spellEnd"/>
      <w:r w:rsidRPr="0049081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B3B33">
        <w:rPr>
          <w:rFonts w:eastAsia="Times New Roman" w:cstheme="minorHAnsi"/>
          <w:color w:val="000000"/>
          <w:sz w:val="24"/>
          <w:szCs w:val="24"/>
        </w:rPr>
        <w:t>I</w:t>
      </w:r>
      <w:r w:rsidRPr="00490817">
        <w:rPr>
          <w:rFonts w:eastAsia="Times New Roman" w:cstheme="minorHAnsi"/>
          <w:color w:val="000000"/>
          <w:sz w:val="24"/>
          <w:szCs w:val="24"/>
        </w:rPr>
        <w:t xml:space="preserve"> ponovno </w:t>
      </w:r>
      <w:r w:rsidR="009B3B33">
        <w:rPr>
          <w:rFonts w:eastAsia="Times New Roman" w:cstheme="minorHAnsi"/>
          <w:color w:val="000000"/>
          <w:sz w:val="24"/>
          <w:szCs w:val="24"/>
        </w:rPr>
        <w:t>u</w:t>
      </w:r>
      <w:r w:rsidRPr="00490817">
        <w:rPr>
          <w:rFonts w:eastAsia="Times New Roman" w:cstheme="minorHAnsi"/>
          <w:color w:val="000000"/>
          <w:sz w:val="24"/>
          <w:szCs w:val="24"/>
        </w:rPr>
        <w:t>ključite niskokvalificirane odrasle učenike u svoj centar i</w:t>
      </w:r>
      <w:r w:rsidR="009B3B3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90817">
        <w:rPr>
          <w:rFonts w:eastAsia="Times New Roman" w:cstheme="minorHAnsi"/>
          <w:color w:val="000000"/>
          <w:sz w:val="24"/>
          <w:szCs w:val="24"/>
        </w:rPr>
        <w:t>zajednicu. Putem ovog kratkog priručnika, pružit ćemo vam neke pozadinske informacije o temi o kojoj se raspravlja u video resursu i dati neke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3A0A0CA3" w14:textId="7A3AC29D" w:rsidR="00C642B8" w:rsidRPr="00490817" w:rsidRDefault="00C642B8" w:rsidP="00C10ADC">
      <w:pPr>
        <w:rPr>
          <w:rFonts w:cstheme="minorHAnsi"/>
          <w:i/>
          <w:iCs/>
          <w:color w:val="000000"/>
          <w:sz w:val="24"/>
          <w:szCs w:val="24"/>
        </w:rPr>
      </w:pPr>
      <w:r w:rsidRPr="00490817">
        <w:rPr>
          <w:rFonts w:cstheme="minorHAnsi"/>
          <w:color w:val="000000"/>
          <w:sz w:val="24"/>
          <w:szCs w:val="24"/>
        </w:rPr>
        <w:t xml:space="preserve">Tema ovog priručnika odnosi se na video izvore </w:t>
      </w:r>
      <w:r w:rsidR="00DE1D9F" w:rsidRPr="00490817">
        <w:rPr>
          <w:rFonts w:cstheme="minorHAnsi"/>
          <w:i/>
          <w:iCs/>
          <w:color w:val="000000"/>
          <w:sz w:val="24"/>
          <w:szCs w:val="24"/>
        </w:rPr>
        <w:t>Izgradnja višejezičnih kompetencija kroz sport i hobije.</w:t>
      </w:r>
    </w:p>
    <w:p w14:paraId="4F734EA7" w14:textId="77777777" w:rsidR="00C642B8" w:rsidRPr="00C642B8" w:rsidRDefault="00C642B8" w:rsidP="00C10ADC">
      <w:pPr>
        <w:rPr>
          <w:rFonts w:ascii="Segoe UI" w:hAnsi="Segoe UI" w:cs="Segoe UI"/>
          <w:i/>
          <w:iCs/>
          <w:color w:val="000000"/>
          <w:sz w:val="24"/>
          <w:szCs w:val="24"/>
        </w:rPr>
      </w:pPr>
    </w:p>
    <w:p w14:paraId="27539280" w14:textId="77777777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Uvod u temu</w:t>
      </w:r>
    </w:p>
    <w:p w14:paraId="33C165EF" w14:textId="50FF18B8" w:rsidR="00FD796B" w:rsidRPr="00490817" w:rsidRDefault="00E97B67" w:rsidP="00FD796B">
      <w:pPr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>Korištenje sporta i nečijih hobija fantastičan je medij za podučavanje jezičnih vještina, posebno za učenike kojima možda nedostaje povjerenja u to područje. Kroz resurse One-Step Up, učenici mogu istražiti kako ti materijali za učenje mogu pozitivno utjecati na njihove višejezične vještine i kako ih mogu koristiti da se osjećaju sigurnije u svoje sposobnosti. Dakle, bilo da su entuzijasti plesa, obožavatelji glazbe ili mlade sportske zvijezde, mogu ih uputiti da otkriju kako se različiti oblici sporta i hobija mogu koristiti za poboljšanje njihovih jezičnih vještina.</w:t>
      </w:r>
    </w:p>
    <w:p w14:paraId="0BDE0541" w14:textId="77777777" w:rsidR="00C642B8" w:rsidRPr="00C642B8" w:rsidRDefault="00C642B8" w:rsidP="00C642B8">
      <w:pPr>
        <w:rPr>
          <w:rFonts w:ascii="Segoe UI" w:hAnsi="Segoe UI" w:cs="Segoe UI"/>
          <w:sz w:val="24"/>
          <w:szCs w:val="24"/>
        </w:rPr>
      </w:pPr>
    </w:p>
    <w:p w14:paraId="4750F2BD" w14:textId="77777777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Uvod u aktivnost</w:t>
      </w:r>
    </w:p>
    <w:p w14:paraId="55C8DE2A" w14:textId="5EC37A7A" w:rsidR="00C642B8" w:rsidRPr="00490817" w:rsidRDefault="00E97B67" w:rsidP="00C642B8">
      <w:pPr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Koristeći studiju slučaja </w:t>
      </w:r>
      <w:proofErr w:type="spellStart"/>
      <w:r w:rsidRPr="00490817">
        <w:rPr>
          <w:rFonts w:cstheme="minorHAnsi"/>
          <w:i/>
          <w:iCs/>
          <w:sz w:val="24"/>
          <w:szCs w:val="24"/>
        </w:rPr>
        <w:t>Coláiste</w:t>
      </w:r>
      <w:proofErr w:type="spellEnd"/>
      <w:r w:rsidRPr="00490817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490817">
        <w:rPr>
          <w:rFonts w:cstheme="minorHAnsi"/>
          <w:i/>
          <w:iCs/>
          <w:sz w:val="24"/>
          <w:szCs w:val="24"/>
        </w:rPr>
        <w:t>Uisce</w:t>
      </w:r>
      <w:proofErr w:type="spellEnd"/>
      <w:r w:rsidRPr="00490817">
        <w:rPr>
          <w:rFonts w:cstheme="minorHAnsi"/>
          <w:i/>
          <w:iCs/>
          <w:sz w:val="24"/>
          <w:szCs w:val="24"/>
        </w:rPr>
        <w:t xml:space="preserve"> </w:t>
      </w:r>
      <w:r w:rsidRPr="00490817">
        <w:rPr>
          <w:rFonts w:cstheme="minorHAnsi"/>
          <w:sz w:val="24"/>
          <w:szCs w:val="24"/>
        </w:rPr>
        <w:t xml:space="preserve">, polaznici se upoznaju s inovativnom i inkluzivnom studijom slučaja irske inicijative koja promiče učenje jezika kroz sport i hobije. Ovo je primjer inicijative koja ima za cilj pomoći mladima da poboljšaju svoje višejezične vještine u zabavnom i opuštenom okruženju koje im je ugodno. Učenici također imaju priliku isprobati aktivnost ' </w:t>
      </w:r>
      <w:r w:rsidR="00490817" w:rsidRPr="00A14454">
        <w:rPr>
          <w:rFonts w:cstheme="minorHAnsi"/>
          <w:i/>
          <w:iCs/>
          <w:sz w:val="24"/>
          <w:szCs w:val="24"/>
        </w:rPr>
        <w:t xml:space="preserve">Jezična olimpijada' </w:t>
      </w:r>
      <w:r w:rsidRPr="00490817">
        <w:rPr>
          <w:rFonts w:cstheme="minorHAnsi"/>
          <w:sz w:val="24"/>
          <w:szCs w:val="24"/>
        </w:rPr>
        <w:t xml:space="preserve">koja će ih potaknuti da koriste svoje višejezične vještine dok isprobavaju različite sportove kao što su tenis, nogomet, košarka i badminton. To će </w:t>
      </w:r>
      <w:r w:rsidRPr="00490817">
        <w:rPr>
          <w:rFonts w:cstheme="minorHAnsi"/>
          <w:sz w:val="24"/>
          <w:szCs w:val="24"/>
        </w:rPr>
        <w:lastRenderedPageBreak/>
        <w:t>pokazati kako bavljenje sportom i vježbanje njihovih jezičnih vještina može biti zabavno i privlačno.</w:t>
      </w:r>
    </w:p>
    <w:p w14:paraId="4AEE8DF3" w14:textId="77777777" w:rsidR="00490817" w:rsidRDefault="00490817" w:rsidP="00C642B8">
      <w:pPr>
        <w:pStyle w:val="Naslov2"/>
        <w:rPr>
          <w:rFonts w:ascii="Segoe UI" w:hAnsi="Segoe UI" w:cs="Segoe UI"/>
          <w:sz w:val="24"/>
          <w:szCs w:val="24"/>
        </w:rPr>
      </w:pPr>
    </w:p>
    <w:p w14:paraId="20E7CFEA" w14:textId="26DB6CED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Korištenje ovog resursa s grupom</w:t>
      </w:r>
    </w:p>
    <w:p w14:paraId="36F09FEC" w14:textId="77BE936B" w:rsidR="00C642B8" w:rsidRPr="00490817" w:rsidRDefault="00C642B8" w:rsidP="00C642B8">
      <w:pPr>
        <w:shd w:val="clear" w:color="auto" w:fill="FFFFFF"/>
        <w:spacing w:after="225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90817">
        <w:rPr>
          <w:rFonts w:eastAsia="Times New Roman" w:cstheme="minorHAnsi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</w:t>
      </w:r>
      <w:r w:rsidR="00490817" w:rsidRPr="00490817">
        <w:rPr>
          <w:rFonts w:eastAsia="Times New Roman" w:cstheme="minorHAnsi"/>
          <w:i/>
          <w:iCs/>
          <w:color w:val="000000"/>
          <w:sz w:val="24"/>
          <w:szCs w:val="24"/>
        </w:rPr>
        <w:t xml:space="preserve">Izgradnja višejezičnih kompetencija kroz sport i hobije. </w:t>
      </w:r>
      <w:r w:rsidRPr="00490817">
        <w:rPr>
          <w:rFonts w:eastAsia="Times New Roman" w:cstheme="minorHAnsi"/>
          <w:color w:val="000000"/>
          <w:sz w:val="24"/>
          <w:szCs w:val="24"/>
        </w:rPr>
        <w:t xml:space="preserve">Ovaj video će pomoći učenicima da razumiju temu prije nego počnu s aktivnošću Handouta za učenike.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 Za procjenu znanja učenika predlažemo da sesiju završite kvizom </w:t>
      </w:r>
      <w:r w:rsidR="00A14454" w:rsidRPr="00A14454">
        <w:rPr>
          <w:rFonts w:eastAsia="Times New Roman" w:cstheme="minorHAnsi"/>
          <w:i/>
          <w:iCs/>
          <w:color w:val="000000"/>
          <w:sz w:val="24"/>
          <w:szCs w:val="24"/>
        </w:rPr>
        <w:t xml:space="preserve">Izgradnja višejezičnih kompetencija kroz sport i hobije </w:t>
      </w:r>
      <w:r w:rsidR="00A14454">
        <w:rPr>
          <w:rFonts w:eastAsia="Times New Roman" w:cstheme="minorHAnsi"/>
          <w:color w:val="000000"/>
          <w:sz w:val="24"/>
          <w:szCs w:val="24"/>
        </w:rPr>
        <w:t>. Ovo može pomoći učenicima da procijene ono što su naučili putem resursa ONE-STEP UP.</w:t>
      </w:r>
    </w:p>
    <w:p w14:paraId="02A2C13A" w14:textId="4FF0035F" w:rsidR="00C642B8" w:rsidRPr="00C642B8" w:rsidRDefault="00C642B8" w:rsidP="00C642B8">
      <w:pPr>
        <w:pStyle w:val="Naslov2"/>
        <w:rPr>
          <w:rFonts w:ascii="Segoe UI" w:hAnsi="Segoe UI" w:cs="Segoe UI"/>
          <w:sz w:val="24"/>
          <w:szCs w:val="24"/>
        </w:rPr>
      </w:pPr>
      <w:r w:rsidRPr="00C642B8">
        <w:rPr>
          <w:rFonts w:ascii="Segoe UI" w:hAnsi="Segoe UI" w:cs="Segoe UI"/>
          <w:sz w:val="24"/>
          <w:szCs w:val="24"/>
        </w:rPr>
        <w:t>Pitanja za debrifing</w:t>
      </w:r>
    </w:p>
    <w:p w14:paraId="63CBF162" w14:textId="77777777" w:rsidR="00490817" w:rsidRDefault="00490817" w:rsidP="00490817">
      <w:pPr>
        <w:rPr>
          <w:rFonts w:ascii="Segoe UI" w:hAnsi="Segoe UI" w:cs="Segoe UI"/>
          <w:sz w:val="24"/>
          <w:szCs w:val="24"/>
        </w:rPr>
      </w:pPr>
    </w:p>
    <w:p w14:paraId="6D623A52" w14:textId="26C6C0E1" w:rsidR="00C642B8" w:rsidRPr="00490817" w:rsidRDefault="00490817" w:rsidP="00490817">
      <w:pPr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>Evo nekoliko kratkih pitanja o kojima sudionici mogu razmisliti nakon završetka studije slučaja i aktivnosti:</w:t>
      </w:r>
    </w:p>
    <w:p w14:paraId="02D7481C" w14:textId="6E72F629" w:rsidR="00490817" w:rsidRPr="00490817" w:rsidRDefault="00490817" w:rsidP="00490817">
      <w:pPr>
        <w:pStyle w:val="Odlomakpopis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Što ste naučili o </w:t>
      </w:r>
      <w:proofErr w:type="spellStart"/>
      <w:r w:rsidRPr="00490817">
        <w:rPr>
          <w:rFonts w:cstheme="minorHAnsi"/>
          <w:sz w:val="24"/>
          <w:szCs w:val="24"/>
        </w:rPr>
        <w:t>Colaisteu</w:t>
      </w:r>
      <w:proofErr w:type="spellEnd"/>
      <w:r w:rsidRPr="00490817">
        <w:rPr>
          <w:rFonts w:cstheme="minorHAnsi"/>
          <w:sz w:val="24"/>
          <w:szCs w:val="24"/>
        </w:rPr>
        <w:t xml:space="preserve"> </w:t>
      </w:r>
      <w:proofErr w:type="spellStart"/>
      <w:r w:rsidRPr="00490817">
        <w:rPr>
          <w:rFonts w:cstheme="minorHAnsi"/>
          <w:sz w:val="24"/>
          <w:szCs w:val="24"/>
        </w:rPr>
        <w:t>Uisce</w:t>
      </w:r>
      <w:proofErr w:type="spellEnd"/>
      <w:r w:rsidRPr="00490817">
        <w:rPr>
          <w:rFonts w:cstheme="minorHAnsi"/>
          <w:sz w:val="24"/>
          <w:szCs w:val="24"/>
        </w:rPr>
        <w:t xml:space="preserve"> ?</w:t>
      </w:r>
    </w:p>
    <w:p w14:paraId="17F61A17" w14:textId="77777777" w:rsidR="00490817" w:rsidRPr="00490817" w:rsidRDefault="00490817" w:rsidP="00490817">
      <w:pPr>
        <w:pStyle w:val="Odlomakpopis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>Što mislite koji je ključ njihovog uspjeha?</w:t>
      </w:r>
    </w:p>
    <w:p w14:paraId="57539582" w14:textId="17C9DF5E" w:rsidR="00490817" w:rsidRPr="00490817" w:rsidRDefault="00490817" w:rsidP="00490817">
      <w:pPr>
        <w:pStyle w:val="Odlomakpopis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Što </w:t>
      </w:r>
      <w:r w:rsidR="009B3B33">
        <w:rPr>
          <w:rFonts w:cstheme="minorHAnsi"/>
          <w:sz w:val="24"/>
          <w:szCs w:val="24"/>
        </w:rPr>
        <w:t>vam je korisno</w:t>
      </w:r>
      <w:r w:rsidRPr="00490817">
        <w:rPr>
          <w:rFonts w:cstheme="minorHAnsi"/>
          <w:sz w:val="24"/>
          <w:szCs w:val="24"/>
        </w:rPr>
        <w:t xml:space="preserve"> iz ove studije slučaja i aktivnosti? Kako ćete to primijeniti na svoj život ili posao?</w:t>
      </w:r>
    </w:p>
    <w:p w14:paraId="3C9B9310" w14:textId="4A0B1184" w:rsidR="00490817" w:rsidRPr="00490817" w:rsidRDefault="00490817" w:rsidP="00490817">
      <w:pPr>
        <w:pStyle w:val="Odlomakpopis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 xml:space="preserve">Kako vam se čini aktivnost ' </w:t>
      </w:r>
      <w:r w:rsidRPr="00A14454">
        <w:rPr>
          <w:rFonts w:cstheme="minorHAnsi"/>
          <w:i/>
          <w:iCs/>
          <w:sz w:val="24"/>
          <w:szCs w:val="24"/>
        </w:rPr>
        <w:t xml:space="preserve">Jezična olimpijada' </w:t>
      </w:r>
      <w:r w:rsidRPr="00490817">
        <w:rPr>
          <w:rFonts w:cstheme="minorHAnsi"/>
          <w:sz w:val="24"/>
          <w:szCs w:val="24"/>
        </w:rPr>
        <w:t>? Je li vam to pomoglo u poboljšanju jezičnih vještina?</w:t>
      </w:r>
    </w:p>
    <w:p w14:paraId="3765A9CD" w14:textId="7A99C3A8" w:rsidR="00490817" w:rsidRPr="00490817" w:rsidRDefault="00490817" w:rsidP="00490817">
      <w:pPr>
        <w:pStyle w:val="Odlomakpopisa"/>
        <w:numPr>
          <w:ilvl w:val="0"/>
          <w:numId w:val="2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490817">
        <w:rPr>
          <w:rFonts w:cstheme="minorHAnsi"/>
          <w:sz w:val="24"/>
          <w:szCs w:val="24"/>
        </w:rPr>
        <w:t>Što mislite kako se korištenje sporta i hobija može uključiti u tradicionalni obrazovni sustav ili program obuke za poboljšanje jezičnih vještina?</w:t>
      </w:r>
    </w:p>
    <w:p w14:paraId="697BB4F0" w14:textId="32BC07B5" w:rsidR="00426F7D" w:rsidRPr="00E9484B" w:rsidRDefault="00DC3FEC" w:rsidP="00DC3FEC">
      <w:pPr>
        <w:jc w:val="center"/>
        <w:rPr>
          <w:noProof/>
        </w:rPr>
      </w:pPr>
      <w:r>
        <w:rPr>
          <w:rFonts w:ascii="Source Sans Pro" w:hAnsi="Source Sans Pro" w:cstheme="minorHAnsi"/>
          <w:noProof/>
          <w:color w:val="000000"/>
          <w:szCs w:val="21"/>
        </w:rPr>
        <w:lastRenderedPageBreak/>
        <w:drawing>
          <wp:anchor distT="0" distB="0" distL="114300" distR="114300" simplePos="0" relativeHeight="251674624" behindDoc="0" locked="0" layoutInCell="1" allowOverlap="1" wp14:anchorId="0799F257" wp14:editId="059B5296">
            <wp:simplePos x="0" y="0"/>
            <wp:positionH relativeFrom="margin">
              <wp:posOffset>-914400</wp:posOffset>
            </wp:positionH>
            <wp:positionV relativeFrom="margin">
              <wp:posOffset>-931545</wp:posOffset>
            </wp:positionV>
            <wp:extent cx="7625715" cy="10765155"/>
            <wp:effectExtent l="0" t="0" r="0" b="4445"/>
            <wp:wrapSquare wrapText="bothSides"/>
            <wp:docPr id="4" name="Picture 4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imeli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38">
        <w:rPr>
          <w:rFonts w:ascii="Source Sans Pro" w:hAnsi="Source Sans Pro" w:cstheme="minorHAnsi"/>
          <w:color w:val="000000"/>
          <w:szCs w:val="21"/>
        </w:rPr>
        <w:t xml:space="preserve"> </w:t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  <w:r w:rsidR="003D7765">
        <w:rPr>
          <w:rFonts w:ascii="Source Sans Pro" w:hAnsi="Source Sans Pro" w:cstheme="minorHAnsi"/>
          <w:color w:val="000000"/>
          <w:szCs w:val="21"/>
        </w:rPr>
        <w:softHyphen/>
      </w:r>
    </w:p>
    <w:sectPr w:rsidR="00426F7D" w:rsidRPr="00E9484B" w:rsidSect="00A27CEC"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8938" w14:textId="77777777" w:rsidR="00A27CEC" w:rsidRDefault="00A27CEC" w:rsidP="002B6AE4">
      <w:pPr>
        <w:spacing w:after="0" w:line="240" w:lineRule="auto"/>
      </w:pPr>
      <w:r>
        <w:separator/>
      </w:r>
    </w:p>
  </w:endnote>
  <w:endnote w:type="continuationSeparator" w:id="0">
    <w:p w14:paraId="652BFA04" w14:textId="77777777" w:rsidR="00A27CEC" w:rsidRDefault="00A27CEC" w:rsidP="002B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old">
    <w:altName w:val="Segoe UI"/>
    <w:panose1 w:val="00000000000000000000"/>
    <w:charset w:val="00"/>
    <w:family w:val="roman"/>
    <w:notTrueType/>
    <w:pitch w:val="default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4EF6" w14:textId="753AA747" w:rsidR="00AD1672" w:rsidRDefault="00AD1672" w:rsidP="00426F7D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F00" w14:textId="77777777" w:rsidR="00A27CEC" w:rsidRDefault="00A27CEC" w:rsidP="002B6AE4">
      <w:pPr>
        <w:spacing w:after="0" w:line="240" w:lineRule="auto"/>
      </w:pPr>
      <w:r>
        <w:separator/>
      </w:r>
    </w:p>
  </w:footnote>
  <w:footnote w:type="continuationSeparator" w:id="0">
    <w:p w14:paraId="009FF229" w14:textId="77777777" w:rsidR="00A27CEC" w:rsidRDefault="00A27CEC" w:rsidP="002B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1FC8" w14:textId="35E2B352" w:rsidR="00C10ADC" w:rsidRDefault="00C10A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3C9"/>
    <w:multiLevelType w:val="hybridMultilevel"/>
    <w:tmpl w:val="7E5AC3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5726"/>
    <w:multiLevelType w:val="hybridMultilevel"/>
    <w:tmpl w:val="44F02D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819655">
    <w:abstractNumId w:val="1"/>
  </w:num>
  <w:num w:numId="2" w16cid:durableId="84070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1NrQ0NTE3MDE1MDFR0lEKTi0uzszPAykwqgUAtYLJ6CwAAAA="/>
  </w:docVars>
  <w:rsids>
    <w:rsidRoot w:val="0084473D"/>
    <w:rsid w:val="00026A45"/>
    <w:rsid w:val="00042530"/>
    <w:rsid w:val="00052D1B"/>
    <w:rsid w:val="000C2E7A"/>
    <w:rsid w:val="000F4D5B"/>
    <w:rsid w:val="00172510"/>
    <w:rsid w:val="00173F2A"/>
    <w:rsid w:val="0017428A"/>
    <w:rsid w:val="0018331C"/>
    <w:rsid w:val="001A3F8A"/>
    <w:rsid w:val="001B036B"/>
    <w:rsid w:val="00226C25"/>
    <w:rsid w:val="0023062D"/>
    <w:rsid w:val="002649CB"/>
    <w:rsid w:val="0027746F"/>
    <w:rsid w:val="002B6AE4"/>
    <w:rsid w:val="003126CB"/>
    <w:rsid w:val="003568AF"/>
    <w:rsid w:val="00360C82"/>
    <w:rsid w:val="00372934"/>
    <w:rsid w:val="003A7A5F"/>
    <w:rsid w:val="003D2330"/>
    <w:rsid w:val="003D7765"/>
    <w:rsid w:val="00401F2D"/>
    <w:rsid w:val="00404A1C"/>
    <w:rsid w:val="00426F7D"/>
    <w:rsid w:val="004314CC"/>
    <w:rsid w:val="00435497"/>
    <w:rsid w:val="00490817"/>
    <w:rsid w:val="004E051F"/>
    <w:rsid w:val="005078D1"/>
    <w:rsid w:val="005170B5"/>
    <w:rsid w:val="00535205"/>
    <w:rsid w:val="005451A3"/>
    <w:rsid w:val="005931E6"/>
    <w:rsid w:val="005A7610"/>
    <w:rsid w:val="00617139"/>
    <w:rsid w:val="00655D69"/>
    <w:rsid w:val="00695D1B"/>
    <w:rsid w:val="006A2863"/>
    <w:rsid w:val="006B0561"/>
    <w:rsid w:val="006D0169"/>
    <w:rsid w:val="00726B0B"/>
    <w:rsid w:val="0073070A"/>
    <w:rsid w:val="00771A50"/>
    <w:rsid w:val="00773CA1"/>
    <w:rsid w:val="007A0D8E"/>
    <w:rsid w:val="007D52CA"/>
    <w:rsid w:val="007F2468"/>
    <w:rsid w:val="007F4270"/>
    <w:rsid w:val="00824B2B"/>
    <w:rsid w:val="00841899"/>
    <w:rsid w:val="0084473D"/>
    <w:rsid w:val="00853969"/>
    <w:rsid w:val="00861105"/>
    <w:rsid w:val="00872EDA"/>
    <w:rsid w:val="008C7B82"/>
    <w:rsid w:val="008E372E"/>
    <w:rsid w:val="00914920"/>
    <w:rsid w:val="00932F38"/>
    <w:rsid w:val="009561F6"/>
    <w:rsid w:val="009918E3"/>
    <w:rsid w:val="009936B4"/>
    <w:rsid w:val="009B3B33"/>
    <w:rsid w:val="009B3EFF"/>
    <w:rsid w:val="009C16E5"/>
    <w:rsid w:val="00A133B1"/>
    <w:rsid w:val="00A14454"/>
    <w:rsid w:val="00A20954"/>
    <w:rsid w:val="00A27CEC"/>
    <w:rsid w:val="00A50D33"/>
    <w:rsid w:val="00A53955"/>
    <w:rsid w:val="00AA11B9"/>
    <w:rsid w:val="00AD1672"/>
    <w:rsid w:val="00AE155E"/>
    <w:rsid w:val="00AF666A"/>
    <w:rsid w:val="00B1663B"/>
    <w:rsid w:val="00B25623"/>
    <w:rsid w:val="00B2679C"/>
    <w:rsid w:val="00B2681A"/>
    <w:rsid w:val="00B3274D"/>
    <w:rsid w:val="00B56297"/>
    <w:rsid w:val="00BA7CC4"/>
    <w:rsid w:val="00C10ADC"/>
    <w:rsid w:val="00C16969"/>
    <w:rsid w:val="00C257D9"/>
    <w:rsid w:val="00C30AB5"/>
    <w:rsid w:val="00C642B8"/>
    <w:rsid w:val="00C75E6A"/>
    <w:rsid w:val="00C778E4"/>
    <w:rsid w:val="00CE13E1"/>
    <w:rsid w:val="00D37B89"/>
    <w:rsid w:val="00D45A82"/>
    <w:rsid w:val="00D46B37"/>
    <w:rsid w:val="00DA6814"/>
    <w:rsid w:val="00DA6C84"/>
    <w:rsid w:val="00DC3FEC"/>
    <w:rsid w:val="00DE1D9F"/>
    <w:rsid w:val="00E20B46"/>
    <w:rsid w:val="00E372BA"/>
    <w:rsid w:val="00E502C2"/>
    <w:rsid w:val="00E57D5D"/>
    <w:rsid w:val="00E9484B"/>
    <w:rsid w:val="00E97B67"/>
    <w:rsid w:val="00EA28AB"/>
    <w:rsid w:val="00EC735C"/>
    <w:rsid w:val="00EE7F8B"/>
    <w:rsid w:val="00EF050A"/>
    <w:rsid w:val="00F93BFD"/>
    <w:rsid w:val="00FD0013"/>
    <w:rsid w:val="00FD08C6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9730C"/>
  <w15:chartTrackingRefBased/>
  <w15:docId w15:val="{94970FC5-3770-4B11-96C3-9A7A874A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48A3-4953-4F2A-B8A5-C3300C1F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581</Words>
  <Characters>3322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Tajana Marušić</cp:lastModifiedBy>
  <cp:revision>3</cp:revision>
  <cp:lastPrinted>2021-04-27T13:39:00Z</cp:lastPrinted>
  <dcterms:created xsi:type="dcterms:W3CDTF">2023-06-09T10:45:00Z</dcterms:created>
  <dcterms:modified xsi:type="dcterms:W3CDTF">2024-01-22T13:37:00Z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