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B17A" w14:textId="5F030F05" w:rsidR="00B42DF4" w:rsidRDefault="00D337D7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9F9028F" wp14:editId="17E2998F">
                <wp:simplePos x="0" y="0"/>
                <wp:positionH relativeFrom="column">
                  <wp:posOffset>1775460</wp:posOffset>
                </wp:positionH>
                <wp:positionV relativeFrom="paragraph">
                  <wp:posOffset>1280160</wp:posOffset>
                </wp:positionV>
                <wp:extent cx="4472940" cy="2506980"/>
                <wp:effectExtent l="0" t="0" r="0" b="7620"/>
                <wp:wrapSquare wrapText="bothSides" distT="45720" distB="45720" distL="114300" distR="11430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250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C901C" w14:textId="410ECCD0" w:rsidR="00B42DF4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&lt;</w:t>
                            </w:r>
                            <w:r w:rsidR="00D337D7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PODRUČJE KOMPETENCIJA I TRANSVERZALNE TEME</w:t>
                            </w: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&gt;</w:t>
                            </w:r>
                          </w:p>
                          <w:p w14:paraId="167142D6" w14:textId="5A19500E" w:rsidR="00B42DF4" w:rsidRDefault="00D337D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PRIRUČNIK ZA EDUKATORE ODRASLIH</w:t>
                            </w:r>
                            <w:r w:rsidR="00000000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9028F" id="Pravokutnik 5" o:spid="_x0000_s1026" style="position:absolute;margin-left:139.8pt;margin-top:100.8pt;width:352.2pt;height:1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" filled="f" stroked="f">
                <v:textbox inset="2.53958mm,1.2694mm,2.53958mm,1.2694mm">
                  <w:txbxContent>
                    <w:p w14:paraId="083C901C" w14:textId="410ECCD0" w:rsidR="00B42DF4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&lt;</w:t>
                      </w:r>
                      <w:r w:rsidR="00D337D7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PODRUČJE KOMPETENCIJA I TRANSVERZALNE TEME</w:t>
                      </w: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&gt;</w:t>
                      </w:r>
                    </w:p>
                    <w:p w14:paraId="167142D6" w14:textId="5A19500E" w:rsidR="00B42DF4" w:rsidRDefault="00D337D7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PRIRUČNIK ZA EDUKATORE ODRASLIH</w:t>
                      </w:r>
                      <w:r w:rsidR="00000000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15B69051" wp14:editId="6285FE73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48553D" w14:textId="1D942656" w:rsidR="00B42DF4" w:rsidRDefault="00000000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>Resursi mikroučenj</w:t>
      </w:r>
      <w:r w:rsidR="00D337D7">
        <w:rPr>
          <w:rFonts w:ascii="Bebas Neue" w:eastAsia="Bebas Neue" w:hAnsi="Bebas Neue" w:cs="Bebas Neue"/>
          <w:color w:val="F5B335"/>
          <w:sz w:val="48"/>
          <w:szCs w:val="48"/>
        </w:rPr>
        <w:t>a</w:t>
      </w:r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63FAB650" w14:textId="77777777" w:rsidR="00B42DF4" w:rsidRDefault="00000000">
      <w:pPr>
        <w:pStyle w:val="Naslov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2430FAE6" w14:textId="77777777" w:rsidR="00B42DF4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0616093F" w14:textId="25BA8518" w:rsidR="00B42DF4" w:rsidRDefault="00000000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Cilj ovog kratkog priručnika je pomoći vama, kao iskusnom edukatoru koji radi s niskokvalificiranim i marginaliziranim odraslim učenicima, s različitim potrebama da koristite video resurse i listove s aktivnostima koji se nalaze u Paketu resursa za mikroučenje za ponovno Uključi</w:t>
      </w:r>
      <w:r w:rsidR="00D337D7">
        <w:rPr>
          <w:rFonts w:ascii="Quattrocento Sans" w:eastAsia="Quattrocento Sans" w:hAnsi="Quattrocento Sans" w:cs="Quattrocento Sans"/>
          <w:color w:val="000000"/>
          <w:sz w:val="24"/>
          <w:szCs w:val="24"/>
        </w:rPr>
        <w:t>vanje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niskokvalificiran</w:t>
      </w:r>
      <w:r w:rsidR="00D337D7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odrasl</w:t>
      </w:r>
      <w:r w:rsidR="00D337D7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učenik</w:t>
      </w:r>
      <w:r w:rsidR="00D337D7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 svoj centar i u svoju zajednicu. Putem ovog kratkog priručnika, pružit ćemo vam neke pozadinske informacije o temi o kojoj se raspravlja u video resursu i dati neke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166D7880" w14:textId="65853D83" w:rsidR="00B42DF4" w:rsidRPr="00D337D7" w:rsidRDefault="00000000">
      <w:pPr>
        <w:rPr>
          <w:rFonts w:eastAsia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video resurse </w:t>
      </w:r>
      <w:r w:rsidR="00D337D7">
        <w:rPr>
          <w:rFonts w:ascii="Quattrocento Sans" w:eastAsia="Quattrocento Sans" w:hAnsi="Quattrocento Sans" w:cs="Quattrocento Sans"/>
          <w:i/>
          <w:sz w:val="24"/>
          <w:szCs w:val="24"/>
        </w:rPr>
        <w:t>Višejezi</w:t>
      </w:r>
      <w:r w:rsidR="00D337D7">
        <w:rPr>
          <w:rFonts w:eastAsia="Quattrocento Sans"/>
          <w:i/>
          <w:sz w:val="24"/>
          <w:szCs w:val="24"/>
        </w:rPr>
        <w:t>čne kompetencije kroz umjetnost.</w:t>
      </w:r>
    </w:p>
    <w:p w14:paraId="00B48C56" w14:textId="77777777" w:rsidR="00B42DF4" w:rsidRDefault="00B42DF4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29787DCF" w14:textId="77777777" w:rsidR="00B42DF4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0E7F3B61" w14:textId="7C9A9A57" w:rsidR="00B42DF4" w:rsidRDefault="0000000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Učenje drugog jezika može biti izazovno iskustvo za većinu odraslih, osobito zato što odrasli </w:t>
      </w:r>
      <w:r w:rsidR="00D337D7">
        <w:rPr>
          <w:rFonts w:ascii="Quattrocento Sans" w:eastAsia="Quattrocento Sans" w:hAnsi="Quattrocento Sans" w:cs="Quattrocento Sans"/>
          <w:sz w:val="24"/>
          <w:szCs w:val="24"/>
        </w:rPr>
        <w:t xml:space="preserve">nisu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skloni iskušavanju novih stvari, bojeći se da će ispasti smiješni i pogriješiti. </w:t>
      </w:r>
      <w:r w:rsidR="00D337D7">
        <w:rPr>
          <w:rFonts w:ascii="Quattrocento Sans" w:eastAsia="Quattrocento Sans" w:hAnsi="Quattrocento Sans" w:cs="Quattrocento Sans"/>
          <w:sz w:val="24"/>
          <w:szCs w:val="24"/>
        </w:rPr>
        <w:t>V</w:t>
      </w:r>
      <w:r>
        <w:rPr>
          <w:rFonts w:ascii="Quattrocento Sans" w:eastAsia="Quattrocento Sans" w:hAnsi="Quattrocento Sans" w:cs="Quattrocento Sans"/>
          <w:sz w:val="24"/>
          <w:szCs w:val="24"/>
        </w:rPr>
        <w:t>eliki dio učenja jezika je</w:t>
      </w:r>
      <w:r w:rsidR="00D337D7">
        <w:rPr>
          <w:rFonts w:ascii="Quattrocento Sans" w:eastAsia="Quattrocento Sans" w:hAnsi="Quattrocento Sans" w:cs="Quattrocento Sans"/>
          <w:sz w:val="24"/>
          <w:szCs w:val="24"/>
        </w:rPr>
        <w:t>st baš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eksperimentiranje i griješenje! Ali možemo promijeniti njihov fokus na izvedbu na nešto kreativnije što će olakšati njihovo sudjelovanje i eliminirati određeni stupanj samoosuđivanja.</w:t>
      </w:r>
    </w:p>
    <w:p w14:paraId="4215BAAA" w14:textId="77777777" w:rsidR="00B42DF4" w:rsidRDefault="0000000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Jezik i umjetnost su komplementarne discipline i mogu koristiti niskokvalificiranim odraslim osobama na više načina. Integracija umjetnosti u učenje jezika može poboljšati usvajanje jezika, kreativnost i angažman. S druge strane, integracija jezičnih vještina u umjetnost može omogućiti nove dimenzije izražavanja i komunikacije. U ovom resursu niskokvalificirani odrasli mogu istražiti kako umjetnost može pozitivno utjecati na njihove jezične vještine.</w:t>
      </w:r>
    </w:p>
    <w:p w14:paraId="56A6D35A" w14:textId="77777777" w:rsidR="00B42DF4" w:rsidRDefault="00B42DF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5906FFB5" w14:textId="77777777" w:rsidR="00B42DF4" w:rsidRDefault="00B42DF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2E401AA4" w14:textId="77777777" w:rsidR="00D337D7" w:rsidRDefault="00D337D7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7C8C9EB0" w14:textId="77777777" w:rsidR="00B42DF4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Uvod u aktivnost</w:t>
      </w:r>
    </w:p>
    <w:p w14:paraId="39B0C145" w14:textId="5E4FFDD9" w:rsidR="00B42DF4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Koristeći studiju slučaja škole hrvatskog jezika Sequoia Center, polaznici se upoznaju s posebnim programom učenja engleskog jezika kroz umjetnost - "ESL Through Art" - s ciljem rješavanja potreba sudionika i premošćivanja njihovih jezičnih barijera univerzalnim jezikom vizualn</w:t>
      </w:r>
      <w:r w:rsidR="00D337D7">
        <w:rPr>
          <w:rFonts w:ascii="Quattrocento Sans" w:eastAsia="Quattrocento Sans" w:hAnsi="Quattrocento Sans" w:cs="Quattrocento Sans"/>
          <w:sz w:val="24"/>
          <w:szCs w:val="24"/>
        </w:rPr>
        <w:t>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umjetnosti. Ovo daje primjer da učenici ne moraju ići duboko u analize umjetničkih djela i teorija, već koristiti vizualnu umjetnost kao alat za učenje stranog jezika. Temeljno značenje ili poruka umjetničkog djela nije toliko ključno koliko pronalaženje zanimljivih načina za korištenje umjetničkih djela za učenje jezika i vokabulara, osobito u programima namijenjenim početnicima. Učenici također imaju priliku isprobati "Višejezični umjetnički kolaž" koji će ih potaknuti na eksperimentiranje s vizualno privlačnim i zanimljivim dijelovima časopisa ili novina kako bi poboljšali svoje višejezične vještine dok se igraju svojim umjetničkim kompozicijama na plakatima ili platnu. To će pokazati kako vježbanje njihovih jezičnih vještina i izgradnja njihovog vokabulara mogu biti zabavni i privlačni u kombinaciji s radom na vlastitim umjetničkim skladbama.</w:t>
      </w:r>
    </w:p>
    <w:p w14:paraId="4CF34D4E" w14:textId="77777777" w:rsidR="00B42DF4" w:rsidRDefault="00B42DF4">
      <w:pPr>
        <w:rPr>
          <w:rFonts w:ascii="Quattrocento Sans" w:eastAsia="Quattrocento Sans" w:hAnsi="Quattrocento Sans" w:cs="Quattrocento Sans"/>
          <w:sz w:val="24"/>
          <w:szCs w:val="24"/>
          <w:highlight w:val="yellow"/>
        </w:rPr>
      </w:pPr>
    </w:p>
    <w:p w14:paraId="2CE98FFD" w14:textId="77777777" w:rsidR="00B42DF4" w:rsidRDefault="00B42DF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1745B0E8" w14:textId="77777777" w:rsidR="00B42DF4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67A07F82" w14:textId="0E60054D" w:rsidR="00B42DF4" w:rsidRDefault="00D337D7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 w:rsidRPr="00D337D7">
        <w:rPr>
          <w:rFonts w:ascii="Quattrocento Sans" w:eastAsia="Quattrocento Sans" w:hAnsi="Quattrocento Sans" w:cs="Quattrocento Sans"/>
          <w:iCs/>
          <w:sz w:val="24"/>
          <w:szCs w:val="24"/>
        </w:rPr>
        <w:t>Kako biste iskoristili ovaj resurs sa odraslim polaznicima u vašoj grupi, predlažemo da pogledate video resurs na temu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</w:t>
      </w:r>
      <w:r w:rsidRPr="00D337D7">
        <w:rPr>
          <w:rFonts w:ascii="Quattrocento Sans" w:eastAsia="Quattrocento Sans" w:hAnsi="Quattrocento Sans" w:cs="Quattrocento Sans"/>
          <w:i/>
          <w:iCs/>
          <w:color w:val="000000"/>
          <w:sz w:val="24"/>
          <w:szCs w:val="24"/>
        </w:rPr>
        <w:t>V</w:t>
      </w:r>
      <w:r w:rsidRPr="00D337D7">
        <w:rPr>
          <w:rFonts w:ascii="Quattrocento Sans" w:eastAsia="Quattrocento Sans" w:hAnsi="Quattrocento Sans" w:cs="Quattrocento Sans"/>
          <w:i/>
          <w:iCs/>
          <w:color w:val="000000"/>
          <w:sz w:val="24"/>
          <w:szCs w:val="24"/>
        </w:rPr>
        <w:t>išejezične kompetencije</w:t>
      </w:r>
      <w:r w:rsidRPr="00D337D7">
        <w:rPr>
          <w:rFonts w:ascii="Quattrocento Sans" w:eastAsia="Quattrocento Sans" w:hAnsi="Quattrocento Sans" w:cs="Quattrocento Sans"/>
          <w:i/>
          <w:iCs/>
          <w:sz w:val="24"/>
          <w:szCs w:val="24"/>
        </w:rPr>
        <w:t xml:space="preserve"> </w:t>
      </w:r>
      <w:r w:rsidR="00000000" w:rsidRPr="00D337D7">
        <w:rPr>
          <w:rFonts w:ascii="Quattrocento Sans" w:eastAsia="Quattrocento Sans" w:hAnsi="Quattrocento Sans" w:cs="Quattrocento Sans"/>
          <w:i/>
          <w:iCs/>
          <w:sz w:val="24"/>
          <w:szCs w:val="24"/>
        </w:rPr>
        <w:t>kroz umjetnost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. </w:t>
      </w:r>
      <w:r w:rsidR="00000000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razumiju temu prije nego počnu s aktivnošću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Priru</w:t>
      </w:r>
      <w:r>
        <w:rPr>
          <w:rFonts w:eastAsia="Quattrocento Sans"/>
          <w:color w:val="000000"/>
          <w:sz w:val="24"/>
          <w:szCs w:val="24"/>
        </w:rPr>
        <w:t>čnika</w:t>
      </w:r>
      <w:r w:rsidR="00000000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polaznike</w:t>
      </w:r>
      <w:r w:rsidR="00000000">
        <w:rPr>
          <w:rFonts w:ascii="Quattrocento Sans" w:eastAsia="Quattrocento Sans" w:hAnsi="Quattrocento Sans" w:cs="Quattrocento Sans"/>
          <w:color w:val="000000"/>
          <w:sz w:val="24"/>
          <w:szCs w:val="24"/>
        </w:rPr>
        <w:t>. Nakon što steknu opće znanje o temi, moći će započeti s dijeljenjem materijala. U tu svrhu preporučamo da ispišete jedan materijal po učeniku koji će ispuniti. Sve što učenicima treba za ovaj resurs je olovka za ispunjavanje brošure za učenike i računalo za gledanje videa. Za dovršetak ovog resursa trebat će ukupno jedan sat.</w:t>
      </w:r>
    </w:p>
    <w:p w14:paraId="13488628" w14:textId="14B81C9D" w:rsidR="00B42DF4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604F5D88" w14:textId="77777777" w:rsidR="00B42DF4" w:rsidRDefault="00B42DF4"/>
    <w:p w14:paraId="5FC422AA" w14:textId="77777777" w:rsidR="00B42D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mislite koji je ključ uspjeha posebnog programa učenja engleskog jezika Centra Sequoia kroz umjetnost - "ESL Through Art"</w:t>
      </w:r>
    </w:p>
    <w:p w14:paraId="0272C20E" w14:textId="77777777" w:rsidR="00B42D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ćete izvući iz ove studije slučaja i aktivnosti? Kako ćete to primijeniti na svoj život ili posao?</w:t>
      </w:r>
    </w:p>
    <w:p w14:paraId="078B54F4" w14:textId="2DA59A48" w:rsidR="00B42D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Kako ste pronašli </w:t>
      </w:r>
      <w:r w:rsidR="00D337D7">
        <w:rPr>
          <w:rFonts w:ascii="Quattrocento Sans" w:eastAsia="Quattrocento Sans" w:hAnsi="Quattrocento Sans" w:cs="Quattrocento Sans"/>
          <w:sz w:val="24"/>
          <w:szCs w:val="24"/>
        </w:rPr>
        <w:t>„Višejezi</w:t>
      </w:r>
      <w:r w:rsidR="00D337D7">
        <w:rPr>
          <w:rFonts w:eastAsia="Quattrocento Sans"/>
          <w:sz w:val="24"/>
          <w:szCs w:val="24"/>
        </w:rPr>
        <w:t>čni umjetnički kolaž“</w:t>
      </w:r>
      <w:r>
        <w:rPr>
          <w:rFonts w:ascii="Quattrocento Sans" w:eastAsia="Quattrocento Sans" w:hAnsi="Quattrocento Sans" w:cs="Quattrocento Sans"/>
          <w:sz w:val="24"/>
          <w:szCs w:val="24"/>
        </w:rPr>
        <w:t>? Je li vam to pomoglo u poboljšanju jezičnih vještina?</w:t>
      </w:r>
    </w:p>
    <w:p w14:paraId="0746BB29" w14:textId="77777777" w:rsidR="00B42D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mislite kako se korištenje umjetnosti može uklopiti u tradicionalni obrazovni sustav ili program obuke za poboljšanje jezičnih vještina?</w:t>
      </w:r>
    </w:p>
    <w:p w14:paraId="3F86C5F0" w14:textId="77777777" w:rsidR="00B42DF4" w:rsidRDefault="00B42DF4"/>
    <w:p w14:paraId="30645FA8" w14:textId="77777777" w:rsidR="00B42DF4" w:rsidRDefault="0000000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193BF07E" wp14:editId="2B85D669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B42DF4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C824" w14:textId="77777777" w:rsidR="005413C0" w:rsidRDefault="005413C0">
      <w:pPr>
        <w:spacing w:after="0" w:line="240" w:lineRule="auto"/>
      </w:pPr>
      <w:r>
        <w:separator/>
      </w:r>
    </w:p>
  </w:endnote>
  <w:endnote w:type="continuationSeparator" w:id="0">
    <w:p w14:paraId="653C1254" w14:textId="77777777" w:rsidR="005413C0" w:rsidRDefault="0054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1054" w14:textId="77777777" w:rsidR="00B42DF4" w:rsidRDefault="00B42D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D481" w14:textId="77777777" w:rsidR="005413C0" w:rsidRDefault="005413C0">
      <w:pPr>
        <w:spacing w:after="0" w:line="240" w:lineRule="auto"/>
      </w:pPr>
      <w:r>
        <w:separator/>
      </w:r>
    </w:p>
  </w:footnote>
  <w:footnote w:type="continuationSeparator" w:id="0">
    <w:p w14:paraId="562CC146" w14:textId="77777777" w:rsidR="005413C0" w:rsidRDefault="0054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30E7" w14:textId="77777777" w:rsidR="00B42DF4" w:rsidRDefault="00B42D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606F"/>
    <w:multiLevelType w:val="multilevel"/>
    <w:tmpl w:val="BAB06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498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F4"/>
    <w:rsid w:val="005413C0"/>
    <w:rsid w:val="00B42DF4"/>
    <w:rsid w:val="00D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AF62B"/>
  <w15:docId w15:val="{D8D67D07-A34C-46D3-9E32-56E4223C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/6B3d4xgRA63SDkDlDspGedFg==">CgMxLjA4AHIhMW93dnA3RmdYSFFQbkprQkVWR09HTVJ4TmNCM2plRTdO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615</Words>
  <Characters>3708</Characters>
  <Application>Microsoft Office Word</Application>
  <DocSecurity>0</DocSecurity>
  <Lines>73</Lines>
  <Paragraphs>17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2</cp:revision>
  <dcterms:created xsi:type="dcterms:W3CDTF">2023-02-14T11:52:00Z</dcterms:created>
  <dcterms:modified xsi:type="dcterms:W3CDTF">2024-01-10T11:33:00Z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