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70AF" w14:textId="012C917C" w:rsidR="008F6E6E" w:rsidRDefault="006F229E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9C2E761" wp14:editId="709A0CFA">
                <wp:simplePos x="0" y="0"/>
                <wp:positionH relativeFrom="column">
                  <wp:posOffset>1356360</wp:posOffset>
                </wp:positionH>
                <wp:positionV relativeFrom="paragraph">
                  <wp:posOffset>922020</wp:posOffset>
                </wp:positionV>
                <wp:extent cx="4373880" cy="2621280"/>
                <wp:effectExtent l="0" t="0" r="0" b="7620"/>
                <wp:wrapSquare wrapText="bothSides" distT="45720" distB="45720" distL="114300" distR="114300"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880" cy="262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300D2" w14:textId="6B908986" w:rsidR="008F6E6E" w:rsidRDefault="00000000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&lt;</w:t>
                            </w:r>
                            <w:r w:rsidR="006F229E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PODRUČJE KOMPETENCIJA I TRANSVERZALNE TEME</w:t>
                            </w: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&gt;</w:t>
                            </w:r>
                          </w:p>
                          <w:p w14:paraId="47234C22" w14:textId="59E26779" w:rsidR="008F6E6E" w:rsidRDefault="006F229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PRIRUČNIK ZA EDUKATORE ODRASLIH</w:t>
                            </w:r>
                            <w:r w:rsidR="00000000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2E761" id="Pravokutnik 5" o:spid="_x0000_s1026" style="position:absolute;margin-left:106.8pt;margin-top:72.6pt;width:344.4pt;height:20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" filled="f" stroked="f">
                <v:textbox inset="2.53958mm,1.2694mm,2.53958mm,1.2694mm">
                  <w:txbxContent>
                    <w:p w14:paraId="4E6300D2" w14:textId="6B908986" w:rsidR="008F6E6E" w:rsidRDefault="00000000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&lt;</w:t>
                      </w:r>
                      <w:r w:rsidR="006F229E"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PODRUČJE KOMPETENCIJA I TRANSVERZALNE TEME</w:t>
                      </w: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&gt;</w:t>
                      </w:r>
                    </w:p>
                    <w:p w14:paraId="47234C22" w14:textId="59E26779" w:rsidR="008F6E6E" w:rsidRDefault="006F229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PRIRUČNIK ZA EDUKATORE ODRASLIH</w:t>
                      </w:r>
                      <w:r w:rsidR="00000000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hidden="0" allowOverlap="1" wp14:anchorId="5FDCF8C0" wp14:editId="04864176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2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C9B674" w14:textId="4E05B134" w:rsidR="008F6E6E" w:rsidRDefault="00000000">
      <w:pPr>
        <w:pStyle w:val="Naslov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</w:rPr>
      </w:pPr>
      <w:r>
        <w:rPr>
          <w:rFonts w:ascii="Bebas Neue" w:eastAsia="Bebas Neue" w:hAnsi="Bebas Neue" w:cs="Bebas Neue"/>
          <w:color w:val="F5B335"/>
          <w:sz w:val="48"/>
          <w:szCs w:val="48"/>
        </w:rPr>
        <w:lastRenderedPageBreak/>
        <w:t>Resursi mikroučenj</w:t>
      </w:r>
      <w:r w:rsidR="006F229E">
        <w:rPr>
          <w:rFonts w:ascii="Bebas Neue" w:eastAsia="Bebas Neue" w:hAnsi="Bebas Neue" w:cs="Bebas Neue"/>
          <w:color w:val="F5B335"/>
          <w:sz w:val="48"/>
          <w:szCs w:val="48"/>
        </w:rPr>
        <w:t>A</w:t>
      </w:r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za ponovno uključivanje niskokvalificiranih odraslih učenika u obrazovanje i osposobljavanje</w:t>
      </w:r>
    </w:p>
    <w:p w14:paraId="2669418E" w14:textId="77777777" w:rsidR="008F6E6E" w:rsidRDefault="00000000">
      <w:pPr>
        <w:pStyle w:val="Naslov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</w:pPr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Priručnik za edukatore odraslih</w:t>
      </w:r>
    </w:p>
    <w:p w14:paraId="2F04AE04" w14:textId="77777777" w:rsidR="008F6E6E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Plan učenja</w:t>
      </w:r>
    </w:p>
    <w:p w14:paraId="6194A997" w14:textId="0D8DB44E" w:rsidR="008F6E6E" w:rsidRDefault="00000000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Cilj ovog kratkog priručnika je pomoći vama, kao iskusnom edukatoru koji radi s niskokvalificiranim i marginaliziranim odraslim učenicima, s različitim potrebama, da koristite video resurse i listove s aktivnostima koji se nalaze u Paketu resursa za mikroučenje za ponovno Uključi</w:t>
      </w:r>
      <w:r w:rsidR="006F229E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vanje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niskokvalificiran</w:t>
      </w:r>
      <w:r w:rsidR="006F229E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odrasl</w:t>
      </w:r>
      <w:r w:rsidR="006F229E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učenik</w:t>
      </w:r>
      <w:r w:rsidR="006F229E"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 svoj centar i u zajednicu. Putem ovog kratkog priručnika, pružit ćemo vam neke pozadinske informacije o temi o kojoj se raspravlja u video resursu i dati neke smjernice koje će vam pomoći da uvedete i provedete popratnu aktivnost s odraslim učenicima u vašoj grupi. Aktivnost koja je razvijena uz video resurse ima za cilj daljnji razvoj njihovog razumijevanja teme navedene u video izvorima. Naposljetku, ovaj će vam priručnik također predstaviti neka dodatna pitanja koja možete koristiti u svojoj skupini odraslih učenika, kako biste procijenili jednostavnost i kvalitetu aktivnosti koju ste s njima obavili.</w:t>
      </w:r>
    </w:p>
    <w:p w14:paraId="1F3AF367" w14:textId="77777777" w:rsidR="008F6E6E" w:rsidRDefault="008F6E6E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14:paraId="33987F53" w14:textId="5155A1AF" w:rsidR="008F6E6E" w:rsidRDefault="00000000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Tema ovog priručnika odnosi se na video izvore </w:t>
      </w:r>
      <w:r w:rsidR="006F229E">
        <w:rPr>
          <w:rFonts w:ascii="Quattrocento Sans" w:eastAsia="Quattrocento Sans" w:hAnsi="Quattrocento Sans" w:cs="Quattrocento Sans"/>
          <w:i/>
          <w:sz w:val="24"/>
          <w:szCs w:val="24"/>
        </w:rPr>
        <w:t>Kompetencije pismenosti kroz kulturu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.</w:t>
      </w:r>
    </w:p>
    <w:p w14:paraId="7C5962DF" w14:textId="77777777" w:rsidR="008F6E6E" w:rsidRDefault="008F6E6E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0C330F68" w14:textId="77777777" w:rsidR="008F6E6E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Uvod u temu</w:t>
      </w:r>
    </w:p>
    <w:p w14:paraId="1DE2CF24" w14:textId="77777777" w:rsidR="008F6E6E" w:rsidRDefault="00000000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Kultura oblikuje način na koji odrasli uče i bave se pismenošću, dok pismenost može utjecati na kulturne tradicije i prakse i očuvati ih. Kultura može poboljšati pismenost među niskokvalificiranim odraslim osobama stvaranjem podržavajućeg i uključivog okruženja za učenje koje uključuje učenike i nadograđuje se na njihovo postojeće kulturno znanje i iskustva. U ovom izvoru učenici mogu istražiti kako se kultura može integrirati u njihovu praksu pismenosti i kako ti kulturni materijali mogu pozitivno utjecati na njihove vještine pismenosti. Uz učenje više o vlastitoj kulturi i također istraživanje drugih različitih kultura, učenici mogu biti vođeni da otkriju kako se kultura može koristiti za poboljšanje njihovih vještina pismenosti.</w:t>
      </w:r>
    </w:p>
    <w:p w14:paraId="2131610F" w14:textId="77777777" w:rsidR="008F6E6E" w:rsidRDefault="008F6E6E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7E655323" w14:textId="77777777" w:rsidR="008F6E6E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Uvod u aktivnost</w:t>
      </w:r>
    </w:p>
    <w:p w14:paraId="10336BFD" w14:textId="5D28937C" w:rsidR="008F6E6E" w:rsidRDefault="00000000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Koristeći studiju slučaja rada Rupi Kaur, polaznici se upoznaju s njezinim radom koji odražava njezino kulturno nasljeđe, identitet i iskustva južnoazijske dijaspore te često istražuje teme identiteta, pripadnosti i složenosti prve generacije imigranata. Ovo je izvrstan primjer integracije kulture za olakšavanje vještina pismenosti. Učenici također </w:t>
      </w:r>
      <w:r>
        <w:rPr>
          <w:rFonts w:ascii="Quattrocento Sans" w:eastAsia="Quattrocento Sans" w:hAnsi="Quattrocento Sans" w:cs="Quattrocento Sans"/>
          <w:sz w:val="24"/>
          <w:szCs w:val="24"/>
        </w:rPr>
        <w:lastRenderedPageBreak/>
        <w:t>imaju priliku isprobati aktivnost "Kulturalne priče i tradicije" koja će ih potaknuti da istražuju različite kulture, a istovremeno poboljšavaju pismenost.</w:t>
      </w:r>
    </w:p>
    <w:p w14:paraId="1FC28F92" w14:textId="77777777" w:rsidR="008F6E6E" w:rsidRDefault="008F6E6E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060A9288" w14:textId="77777777" w:rsidR="008F6E6E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Korištenje ovog resursa s grupom</w:t>
      </w:r>
    </w:p>
    <w:p w14:paraId="5EA4319D" w14:textId="293F527B" w:rsidR="008F6E6E" w:rsidRDefault="00000000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Kako biste koristili ovaj resurs s odraslim učenicima u vašoj lokalnoj grupi, preporučujemo da im počnete prikazivati video izvor kako biste predstavili temu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Kompetencija pismenosti kroz kulturu.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Ovaj video će pomoći učenicima da razumiju temu prije nego počnu s aktivnošću </w:t>
      </w:r>
      <w:r w:rsidR="006F229E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Priru</w:t>
      </w:r>
      <w:r w:rsidR="006F229E">
        <w:rPr>
          <w:rFonts w:eastAsia="Quattrocento Sans"/>
          <w:color w:val="000000"/>
          <w:sz w:val="24"/>
          <w:szCs w:val="24"/>
        </w:rPr>
        <w:t>čnika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za učenike. Nakon što steknu opće znanje o temi, moći će započeti s dijeljenjem materijala. U tu svrhu preporučamo da ispišete jedan materijal po učeniku koji će ispuniti. Sve što učenicima treba za ovaj resurs je olovka za ispunjavanje brošure za učenike i računalo za gledanje videa. Za dovršetak ovog resursa trebat će ukupno jedan sat.</w:t>
      </w:r>
    </w:p>
    <w:p w14:paraId="023091F9" w14:textId="77777777" w:rsidR="006F229E" w:rsidRDefault="00000000" w:rsidP="006F229E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Pitanja </w:t>
      </w:r>
    </w:p>
    <w:p w14:paraId="74DF0EFB" w14:textId="65F1A414" w:rsidR="008F6E6E" w:rsidRDefault="00000000" w:rsidP="006F229E">
      <w:pPr>
        <w:pStyle w:val="Naslov2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Koji je jedan klju</w:t>
      </w:r>
      <w:r>
        <w:rPr>
          <w:rFonts w:ascii="Calibri" w:eastAsia="Quattrocento Sans" w:hAnsi="Calibri" w:cs="Calibri"/>
          <w:sz w:val="24"/>
          <w:szCs w:val="24"/>
        </w:rPr>
        <w:t>č</w:t>
      </w:r>
      <w:r>
        <w:rPr>
          <w:rFonts w:ascii="Quattrocento Sans" w:eastAsia="Quattrocento Sans" w:hAnsi="Quattrocento Sans" w:cs="Quattrocento Sans"/>
          <w:sz w:val="24"/>
          <w:szCs w:val="24"/>
        </w:rPr>
        <w:t>ni zaklju</w:t>
      </w:r>
      <w:r>
        <w:rPr>
          <w:rFonts w:ascii="Calibri" w:eastAsia="Quattrocento Sans" w:hAnsi="Calibri" w:cs="Calibri"/>
          <w:sz w:val="24"/>
          <w:szCs w:val="24"/>
        </w:rPr>
        <w:t>č</w:t>
      </w:r>
      <w:r>
        <w:rPr>
          <w:rFonts w:ascii="Quattrocento Sans" w:eastAsia="Quattrocento Sans" w:hAnsi="Quattrocento Sans" w:cs="Quattrocento Sans"/>
          <w:sz w:val="24"/>
          <w:szCs w:val="24"/>
        </w:rPr>
        <w:t>ak iz ove studije slu</w:t>
      </w:r>
      <w:r>
        <w:rPr>
          <w:rFonts w:ascii="Calibri" w:eastAsia="Quattrocento Sans" w:hAnsi="Calibri" w:cs="Calibri"/>
          <w:sz w:val="24"/>
          <w:szCs w:val="24"/>
        </w:rPr>
        <w:t>č</w:t>
      </w:r>
      <w:r>
        <w:rPr>
          <w:rFonts w:ascii="Quattrocento Sans" w:eastAsia="Quattrocento Sans" w:hAnsi="Quattrocento Sans" w:cs="Quattrocento Sans"/>
          <w:sz w:val="24"/>
          <w:szCs w:val="24"/>
        </w:rPr>
        <w:t>aja i aktivnosti koju ste istražili u brošuri za u</w:t>
      </w:r>
      <w:r>
        <w:rPr>
          <w:rFonts w:ascii="Calibri" w:eastAsia="Quattrocento Sans" w:hAnsi="Calibri" w:cs="Calibri"/>
          <w:sz w:val="24"/>
          <w:szCs w:val="24"/>
        </w:rPr>
        <w:t>č</w:t>
      </w:r>
      <w:r>
        <w:rPr>
          <w:rFonts w:ascii="Quattrocento Sans" w:eastAsia="Quattrocento Sans" w:hAnsi="Quattrocento Sans" w:cs="Quattrocento Sans"/>
          <w:sz w:val="24"/>
          <w:szCs w:val="24"/>
        </w:rPr>
        <w:t>enike? Kako to možete primijeniti na svoj život ili posao?</w:t>
      </w:r>
    </w:p>
    <w:p w14:paraId="2C4EB8B5" w14:textId="77777777" w:rsidR="008F6E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Kako vam se čini aktivnost 'Kulturne priče i običaji'? Je li vam to pomoglo u poboljšanju vaše kompetencije pismenosti?</w:t>
      </w:r>
    </w:p>
    <w:p w14:paraId="6310C59A" w14:textId="77777777" w:rsidR="008F6E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Što mislite, kako se kultura može uključiti u tradicionalni obrazovni sustav ili programe obuke za poboljšanje pismenosti? Imate li još kakvih ideja?</w:t>
      </w:r>
    </w:p>
    <w:p w14:paraId="15799A96" w14:textId="77777777" w:rsidR="008F6E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Zašto mislite da je korištenje kulture za izgradnju vaše kompetencije pismenosti važno? Kako to može pomoći učenicima?</w:t>
      </w:r>
    </w:p>
    <w:p w14:paraId="752C26B5" w14:textId="77777777" w:rsidR="008F6E6E" w:rsidRDefault="008F6E6E"/>
    <w:p w14:paraId="39D5F321" w14:textId="77777777" w:rsidR="008F6E6E" w:rsidRDefault="00000000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783F355D" wp14:editId="2BEF1FD5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1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8F6E6E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C5D5" w14:textId="77777777" w:rsidR="0016031D" w:rsidRDefault="0016031D">
      <w:pPr>
        <w:spacing w:after="0" w:line="240" w:lineRule="auto"/>
      </w:pPr>
      <w:r>
        <w:separator/>
      </w:r>
    </w:p>
  </w:endnote>
  <w:endnote w:type="continuationSeparator" w:id="0">
    <w:p w14:paraId="4C22AF2B" w14:textId="77777777" w:rsidR="0016031D" w:rsidRDefault="0016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8C79" w14:textId="77777777" w:rsidR="008F6E6E" w:rsidRDefault="008F6E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EC0E" w14:textId="77777777" w:rsidR="0016031D" w:rsidRDefault="0016031D">
      <w:pPr>
        <w:spacing w:after="0" w:line="240" w:lineRule="auto"/>
      </w:pPr>
      <w:r>
        <w:separator/>
      </w:r>
    </w:p>
  </w:footnote>
  <w:footnote w:type="continuationSeparator" w:id="0">
    <w:p w14:paraId="350F2C7B" w14:textId="77777777" w:rsidR="0016031D" w:rsidRDefault="0016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8427" w14:textId="77777777" w:rsidR="008F6E6E" w:rsidRDefault="008F6E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56A5"/>
    <w:multiLevelType w:val="multilevel"/>
    <w:tmpl w:val="6778B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322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6E"/>
    <w:rsid w:val="0016031D"/>
    <w:rsid w:val="006F229E"/>
    <w:rsid w:val="008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2551F"/>
  <w15:docId w15:val="{BCB22A5A-A0F4-4B51-B8D4-B6C70D0F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AE4"/>
  </w:style>
  <w:style w:type="paragraph" w:styleId="Podnoje">
    <w:name w:val="footer"/>
    <w:basedOn w:val="Normal"/>
    <w:link w:val="Podno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AE4"/>
  </w:style>
  <w:style w:type="character" w:customStyle="1" w:styleId="Naslov1Char">
    <w:name w:val="Naslov 1 Char"/>
    <w:basedOn w:val="Zadanifontodlomka"/>
    <w:link w:val="Naslov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26A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BO3pNqM6zkcZ7cvIEALYiw4jA==">CgMxLjA4AHIhMU5kWkJwTzhlX3BfbkVoTlZGZkVjSUVfQW0zWmtXWEZX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535</Words>
  <Characters>3144</Characters>
  <Application>Microsoft Office Word</Application>
  <DocSecurity>0</DocSecurity>
  <Lines>60</Lines>
  <Paragraphs>16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Tajana Marušić</cp:lastModifiedBy>
  <cp:revision>2</cp:revision>
  <dcterms:created xsi:type="dcterms:W3CDTF">2023-02-14T11:52:00Z</dcterms:created>
  <dcterms:modified xsi:type="dcterms:W3CDTF">2024-01-10T10:39:00Z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