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14:paraId="00000001">
      <w:pPr>
        <w:tabs>
          <w:tab w:val="left" w:leader="none" w:pos="900"/>
        </w:tabs>
      </w:pPr>
      <w:r>
        <w:drawing>
          <wp:anchor allowOverlap="1" behindDoc="0" distB="0" distT="0" distL="114300" distR="114300" hidden="0" layoutInCell="1" locked="0" relativeHeight="0" simplePos="0">
            <wp:simplePos x="0" y="0"/>
            <wp:positionH relativeFrom="margin">
              <wp:posOffset>-932813</wp:posOffset>
            </wp:positionH>
            <wp:positionV relativeFrom="margin">
              <wp:posOffset>-953769</wp:posOffset>
            </wp:positionV>
            <wp:extent cx="7625715" cy="10782300"/>
            <wp:effectExtent b="0" l="0" r="0" t="0"/>
            <wp:wrapSquare wrapText="bothSides" distB="0" distT="0" distL="114300" distR="114300"/>
            <wp:docPr descr="Shape  Description automatically generated" id="6" name="image1.png"/>
            <a:graphic>
              <a:graphicData uri="http://schemas.openxmlformats.org/drawingml/2006/picture">
                <pic:pic>
                  <pic:nvPicPr>
                    <pic:cNvPr descr="Shape  Description automatically generated" id="0" name="image1.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mc:AlternateContent>
          <mc:Choice Requires="wpg">
            <w:drawing>
              <wp:anchor allowOverlap="1" behindDoc="0" distB="45720" distT="45720" distL="114300" distR="114300" hidden="0" layoutInCell="1" locked="0" relativeHeight="0" simplePos="0">
                <wp:simplePos x="0" y="0"/>
                <wp:positionH relativeFrom="column">
                  <wp:posOffset>1930400</wp:posOffset>
                </wp:positionH>
                <wp:positionV relativeFrom="paragraph">
                  <wp:posOffset>1607820</wp:posOffset>
                </wp:positionV>
                <wp:extent cx="4035425" cy="1414145"/>
                <wp:effectExtent b="0" l="0" r="0" t="0"/>
                <wp:wrapSquare wrapText="bothSides" distB="45720" distT="45720" distL="114300" distR="114300"/>
                <wp:docPr id="5" name=""/>
                <a:graphic>
                  <a:graphicData uri="http://schemas.microsoft.com/office/word/2010/wordprocessingShape">
                    <wps:wsp>
                      <wps:cNvSpPr/>
                      <wps:cNvPr id="2" name="Shape 2"/>
                      <wps:spPr>
                        <a:xfrm>
                          <a:off x="3333050" y="3077690"/>
                          <a:ext cx="4025900" cy="1404620"/>
                        </a:xfrm>
                        <a:prstGeom prst="rect">
                          <a:avLst/>
                        </a:prstGeom>
                        <a:noFill/>
                        <a:ln>
                          <a:noFill/>
                        </a:ln>
                      </wps:spPr>
                      <wps:txbx>
                        <w:txbxContent>
                          <w:p>
                            <w:pPr>
                              <w:spacing w:after="160" w:before="0" w:line="258.99999618530273"/>
                              <w:ind w:left="0" w:right="0" w:firstLine="0"/>
                              <w:jc w:val="right"/>
                              <w:textDirection w:val="btLr"/>
                              <w:pStyle w:val="P68B1DB1-Normal1"/>
                            </w:pPr>
                            <w:r>
                              <w:t xml:space="preserve">Višejezična kompetencija i kulturne discipline</w:t>
                            </w:r>
                          </w:p>
                          <w:p>
                            <w:pPr>
                              <w:spacing w:after="160" w:before="0" w:line="258.99999618530273"/>
                              <w:ind w:left="0" w:right="0" w:firstLine="0"/>
                              <w:jc w:val="right"/>
                              <w:textDirection w:val="btLr"/>
                              <w:pStyle w:val="P68B1DB1-Normal2"/>
                            </w:pPr>
                            <w:r>
                              <w:t xml:space="preserve">Priručnik za nastavnike u obrazovanju odraslih </w:t>
                            </w:r>
                          </w:p>
                        </w:txbxContent>
                      </wps:txbx>
                      <wps:bodyPr anchorCtr="0" anchor="t" bIns="45700" lIns="91425" spcFirstLastPara="1" rIns="91425" wrap="square" tIns="45700">
                        <a:noAutofit/>
                      </wps:bodyPr>
                    </wps:wsp>
                  </a:graphicData>
                </a:graphic>
              </wp:anchor>
            </w:drawing>
          </mc:Choice>
        </mc:AlternateContent>
      </w:r>
    </w:p>
    <w:p w14:paraId="00000002">
      <w:pPr>
        <w:pStyle w:val="P68B1DB1-Heading23"/>
        <w:tabs>
          <w:tab w:val="left" w:leader="none" w:pos="5341"/>
        </w:tabs>
        <w:jc w:val="center"/>
        <w:rPr>
          <w:rFonts w:ascii="Bebas Neue" w:hAnsi="Bebas Neue" w:cs="Bebas Neue" w:eastAsia="Bebas Neue"/>
          <w:color w:val="f5b335"/>
          <w:sz w:val="48"/>
        </w:rPr>
      </w:pPr>
      <w:r>
        <w:t xml:space="preserve">Izvori mikroučenja za ponovno uključivanje niskokvalificiranih odraslih polaznika u obrazovanje i osposobljavanje </w:t>
      </w:r>
    </w:p>
    <w:p w14:paraId="00000003">
      <w:pPr>
        <w:pStyle w:val="P68B1DB1-Heading24"/>
        <w:tabs>
          <w:tab w:val="left" w:leader="none" w:pos="5341"/>
        </w:tabs>
        <w:rPr>
          <w:rFonts w:ascii="Quattrocento Sans" w:hAnsi="Quattrocento Sans" w:cs="Quattrocento Sans" w:eastAsia="Quattrocento Sans"/>
          <w:b w:val="1"/>
          <w:color w:val="1f2126"/>
          <w:sz w:val="36"/>
        </w:rPr>
      </w:pPr>
      <w:r>
        <w:t xml:space="preserve">Priručnik za nastavnike u obrazovanju odraslih </w:t>
      </w:r>
    </w:p>
    <w:p w14:paraId="00000004">
      <w:pPr>
        <w:jc w:val="both"/>
        <w:rPr>
          <w:rFonts w:ascii="Quattrocento Sans" w:hAnsi="Quattrocento Sans" w:cs="Quattrocento Sans" w:eastAsia="Quattrocento Sans"/>
          <w:sz w:val="24"/>
        </w:rPr>
      </w:pPr>
    </w:p>
    <w:p w14:paraId="00000005">
      <w:pPr>
        <w:spacing w:line="360" w:lineRule="auto"/>
        <w:jc w:val="both"/>
        <w:rPr>
          <w:rFonts w:ascii="Quattrocento Sans" w:hAnsi="Quattrocento Sans" w:cs="Quattrocento Sans" w:eastAsia="Quattrocento Sans"/>
          <w:color w:val="000000"/>
          <w:sz w:val="24"/>
        </w:rPr>
        <w:pStyle w:val="P68B1DB1-Normal5"/>
      </w:pPr>
      <w:r>
        <w:t xml:space="preserve">Cilj ovog kratkog priručnika je podržati vas, kao iskusnog edukatora koji radi s niskokvalificiranim i marginaliziranim odraslim polaznicima, s različitim potrebama, da koristite video resurse i listove aktivnosti koji se nalaze u paketu resursa za mikro učenje kako biste ponovno angažirali niskokvalificirane odrasle poalznike u vašem centru i u vašoj zajednici. Kroz ovaj kratki priručnik pružit ćemo vam neke osnovne informacije o temi o kojoj se raspravlja u video resursu i pružiti neke smjernice koje će vam pomoći da uvedete i provedete prateću aktivnost s odraslim polaznicima u vašoj grupi. Aktivnost koja je razvijena kako bi pratila video resurse ima za cilj daljnji razvoj njihovog razumijevanja teme navedene u video resursu. Naposljetku, ovaj će vam priručnik predstaviti i neka kratka pitanja koja možete upotrijebiti u svojoj skupini odraslih polaznika kako biste procijenili jednostavnost korištenja i kvalitetu aktivnosti koju ste završili s njima. </w:t>
      </w:r>
    </w:p>
    <w:p w14:paraId="00000006">
      <w:pPr>
        <w:spacing w:line="360" w:lineRule="auto"/>
        <w:rPr>
          <w:rFonts w:ascii="Quattrocento Sans" w:hAnsi="Quattrocento Sans" w:cs="Quattrocento Sans" w:eastAsia="Quattrocento Sans"/>
          <w:color w:val="000000"/>
          <w:sz w:val="24"/>
        </w:rPr>
      </w:pPr>
    </w:p>
    <w:p w14:paraId="00000007">
      <w:pPr>
        <w:spacing w:line="360" w:lineRule="auto"/>
        <w:rPr>
          <w:rFonts w:ascii="Quattrocento Sans" w:hAnsi="Quattrocento Sans" w:cs="Quattrocento Sans" w:eastAsia="Quattrocento Sans"/>
          <w:i w:val="1"/>
          <w:color w:val="000000"/>
          <w:sz w:val="24"/>
        </w:rPr>
        <w:pStyle w:val="P68B1DB1-Normal5"/>
      </w:pPr>
      <w:r>
        <w:t xml:space="preserve">Tema ovog priručnika odnosi se na video resurse </w:t>
      </w:r>
      <w:r>
        <w:rPr>
          <w:i w:val="1"/>
        </w:rPr>
        <w:t xml:space="preserve">Izgradnja višejezičnih kompetencija kroz kulturu</w:t>
      </w:r>
      <w:r>
        <w:t xml:space="preserve">. </w:t>
      </w:r>
    </w:p>
    <w:p w14:paraId="00000008">
      <w:pPr>
        <w:rPr>
          <w:rFonts w:ascii="Quattrocento Sans" w:hAnsi="Quattrocento Sans" w:cs="Quattrocento Sans" w:eastAsia="Quattrocento Sans"/>
          <w:i w:val="1"/>
          <w:color w:val="000000"/>
          <w:sz w:val="24"/>
        </w:rPr>
      </w:pPr>
    </w:p>
    <w:p w14:paraId="00000009">
      <w:pPr>
        <w:pStyle w:val="P68B1DB1-Heading26"/>
        <w:rPr>
          <w:rFonts w:ascii="Quattrocento Sans" w:hAnsi="Quattrocento Sans" w:cs="Quattrocento Sans" w:eastAsia="Quattrocento Sans"/>
          <w:sz w:val="24"/>
        </w:rPr>
      </w:pPr>
      <w:r>
        <w:t xml:space="preserve">Uvod u temu </w:t>
      </w:r>
    </w:p>
    <w:p w14:paraId="0000000A">
      <w:pPr>
        <w:rPr>
          <w:rFonts w:ascii="Quattrocento Sans" w:hAnsi="Quattrocento Sans" w:cs="Quattrocento Sans" w:eastAsia="Quattrocento Sans"/>
          <w:sz w:val="24"/>
        </w:rPr>
      </w:pPr>
    </w:p>
    <w:p w14:paraId="0000000B">
      <w:pPr>
        <w:spacing w:line="360" w:lineRule="auto"/>
        <w:jc w:val="both"/>
        <w:rPr>
          <w:rFonts w:ascii="Quattrocento Sans" w:hAnsi="Quattrocento Sans" w:cs="Quattrocento Sans" w:eastAsia="Quattrocento Sans"/>
          <w:sz w:val="24"/>
        </w:rPr>
        <w:pStyle w:val="P68B1DB1-Normal7"/>
      </w:pPr>
      <w:r>
        <w:t xml:space="preserve">Kultura zemlje kao što su tradicija, kuhanje, državni praznici, geste, komunikacija ili tradicionalna glazba mogu pomoći niskokvalificiranim odraslim osobama da razviju svoje višejezične kompetencije. Kroz resurse projekta ONE STEP UP, niskokvalificirane odrasle osobe mogu istražiti kako ti materijali za učenje mogu pozitivno utjecati na njihovu sposobnost rada s brojevima i izračunima. </w:t>
      </w:r>
    </w:p>
    <w:p w14:paraId="0000000C">
      <w:pPr>
        <w:rPr>
          <w:rFonts w:ascii="Quattrocento Sans" w:hAnsi="Quattrocento Sans" w:cs="Quattrocento Sans" w:eastAsia="Quattrocento Sans"/>
          <w:sz w:val="24"/>
        </w:rPr>
      </w:pPr>
    </w:p>
    <w:p w14:paraId="0000000D">
      <w:pPr>
        <w:pStyle w:val="P68B1DB1-Heading26"/>
        <w:rPr>
          <w:rFonts w:ascii="Quattrocento Sans" w:hAnsi="Quattrocento Sans" w:cs="Quattrocento Sans" w:eastAsia="Quattrocento Sans"/>
          <w:sz w:val="24"/>
        </w:rPr>
      </w:pPr>
      <w:r>
        <w:t xml:space="preserve">Uvod u aktivnost </w:t>
      </w:r>
    </w:p>
    <w:p w14:paraId="0000000E"/>
    <w:p w14:paraId="0000000F">
      <w:pPr>
        <w:spacing w:line="360" w:lineRule="auto"/>
        <w:jc w:val="both"/>
        <w:rPr>
          <w:rFonts w:ascii="Quattrocento Sans" w:hAnsi="Quattrocento Sans" w:cs="Quattrocento Sans" w:eastAsia="Quattrocento Sans"/>
          <w:sz w:val="24"/>
        </w:rPr>
        <w:pStyle w:val="P68B1DB1-Normal7"/>
      </w:pPr>
      <w:r>
        <w:t xml:space="preserve">U materijalima za polaznike, niskokvalificirane odrasle osobe imaju priliku istražiti inicijativu grada Pariza pod nazivom "Lekcije za odrasle" koja nudi obuku na stranim jezicima. Ti su tečajevi interaktivni i mijenjaju se od uobičajenih jer se usredotočuju ne samo na tehničke i gramatičke aspekte jezika, već i istražuju svijet kuhanja, kina ili književnosti. Ovi tečajevi jezika također uranjaju u kulturu ciljnog jezika.</w:t>
      </w:r>
    </w:p>
    <w:p w14:paraId="00000010">
      <w:pPr>
        <w:spacing w:line="360" w:lineRule="auto"/>
        <w:jc w:val="both"/>
        <w:rPr>
          <w:rFonts w:ascii="Quattrocento Sans" w:hAnsi="Quattrocento Sans" w:cs="Quattrocento Sans" w:eastAsia="Quattrocento Sans"/>
          <w:sz w:val="24"/>
        </w:rPr>
        <w:pStyle w:val="P68B1DB1-Normal7"/>
      </w:pPr>
      <w:r>
        <w:t xml:space="preserve">Štoviše, učenici imaju mogućnost uključiti se u zabavnu i interaktivnu aktivnost "Malo kulturnog putovanja kod kuće". Otkrit će kako slušanje tradicionalne glazbe i kuhanje tipičnih jela ciljnog jezika može poboljšati njihovu sposobnost govora i komunikacije na drugom jeziku. Time možete potaknuti polaznike da otkriju kako kulturne discipline mogu dovesti do značajnih poboljšanja u njihovim višejezičnim vještinama. </w:t>
      </w:r>
    </w:p>
    <w:p w14:paraId="00000011">
      <w:pPr>
        <w:pStyle w:val="P68B1DB1-Heading26"/>
        <w:rPr>
          <w:rFonts w:ascii="Quattrocento Sans" w:hAnsi="Quattrocento Sans" w:cs="Quattrocento Sans" w:eastAsia="Quattrocento Sans"/>
          <w:sz w:val="24"/>
        </w:rPr>
      </w:pPr>
      <w:r>
        <w:t xml:space="preserve">Korištenje ovog resursa s grupom </w:t>
      </w:r>
    </w:p>
    <w:p w14:paraId="00000012">
      <w:pPr>
        <w:shd w:fill="ffffff" w:val="clear"/>
        <w:spacing w:after="225" w:line="360" w:lineRule="auto"/>
        <w:jc w:val="both"/>
        <w:rPr>
          <w:rFonts w:ascii="Quattrocento Sans" w:hAnsi="Quattrocento Sans" w:cs="Quattrocento Sans" w:eastAsia="Quattrocento Sans"/>
          <w:color w:val="000000"/>
          <w:sz w:val="24"/>
        </w:rPr>
      </w:pPr>
    </w:p>
    <w:p w14:paraId="00000013">
      <w:pPr>
        <w:shd w:fill="ffffff" w:val="clear"/>
        <w:spacing w:after="225" w:line="360" w:lineRule="auto"/>
        <w:jc w:val="both"/>
        <w:rPr>
          <w:rFonts w:ascii="Quattrocento Sans" w:hAnsi="Quattrocento Sans" w:cs="Quattrocento Sans" w:eastAsia="Quattrocento Sans"/>
          <w:color w:val="000000"/>
          <w:sz w:val="24"/>
        </w:rPr>
        <w:pStyle w:val="P68B1DB1-Normal5"/>
      </w:pPr>
      <w:r>
        <w:t xml:space="preserve">Da biste koristili ovaj resurs s odraslim polaznicima u vašoj lokalnoj grupi, preporučujemo da im počnete pokazivati video resurs kako biste uveli temu višejezičnih </w:t>
      </w:r>
      <w:r>
        <w:rPr>
          <w:i w:val="1"/>
        </w:rPr>
        <w:t xml:space="preserve">kompetencija i kulturnih disciplina.</w:t>
      </w:r>
      <w:r>
        <w:t xml:space="preserve"> Ovaj će videozapis pomoći polaznicima da razumiju temu prije nego što započnu aktivnost pisanih materijala za polaznike. Nakon što steknu opće znanje o temi, moći će započeti s pisanim materijalima. Za to preporučujemo da ispišete jedan pisani materijal po polazniku kako biste dovršili. Sve što je polaznicima potrebno za ovaj resurs je olovka za ispunjavanje materijala i računalo za gledanje videozapisa. |||UNTRANSLATED_CONTENT_START|||This resource will take one hour in total to complete.|||UNTRANSLATED_CONTENT_END|||</w:t>
      </w:r>
    </w:p>
    <w:p w14:paraId="00000014">
      <w:pPr>
        <w:pStyle w:val="P68B1DB1-Heading26"/>
        <w:rPr>
          <w:rFonts w:ascii="Quattrocento Sans" w:hAnsi="Quattrocento Sans" w:cs="Quattrocento Sans" w:eastAsia="Quattrocento Sans"/>
          <w:sz w:val="24"/>
        </w:rPr>
      </w:pPr>
      <w:r>
        <w:t xml:space="preserve">Pitanja za promišljanje:</w:t>
      </w:r>
    </w:p>
    <w:p w14:paraId="00000015"/>
    <w:p w14:paraId="00000016">
      <w:pPr>
        <w:spacing w:line="360" w:lineRule="auto"/>
        <w:rPr>
          <w:rFonts w:ascii="Quattrocento Sans" w:hAnsi="Quattrocento Sans" w:cs="Quattrocento Sans" w:eastAsia="Quattrocento Sans"/>
          <w:sz w:val="24"/>
        </w:rPr>
        <w:pStyle w:val="P68B1DB1-Normal7"/>
      </w:pPr>
      <w:bookmarkStart w:colFirst="0" w:colLast="0" w:name="_heading=h.gjdgxs" w:id="0"/>
      <w:bookmarkEnd w:id="0"/>
      <w:r>
        <w:t xml:space="preserve">Evo nekoliko potencijalnih pitanja za raspravu o kojima sudionici mogu razmisliti nakon završetka studije slučaja i aktivnosti: </w:t>
      </w:r>
    </w:p>
    <w:p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Quattrocento Sans" w:hAnsi="Quattrocento Sans" w:cs="Quattrocento Sans" w:eastAsia="Quattrocento Sans"/>
          <w:b w:val="0"/>
          <w:i w:val="0"/>
          <w:smallCaps w:val="0"/>
          <w:strike w:val="0"/>
          <w:color w:val="000000"/>
          <w:sz w:val="24"/>
          <w:u w:val="none"/>
          <w:shd w:fill="auto" w:val="clear"/>
          <w:vertAlign w:val="baseline"/>
        </w:rPr>
        <w:pStyle w:val="P68B1DB1-Normal8"/>
      </w:pPr>
      <w:r>
        <w:t xml:space="preserve">Što vas najviše iznenađuje u programima kuhanja ESL  Language Plus? </w:t>
      </w:r>
    </w:p>
    <w:p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Quattrocento Sans" w:hAnsi="Quattrocento Sans" w:cs="Quattrocento Sans" w:eastAsia="Quattrocento Sans"/>
          <w:b w:val="0"/>
          <w:i w:val="0"/>
          <w:smallCaps w:val="0"/>
          <w:strike w:val="0"/>
          <w:color w:val="000000"/>
          <w:sz w:val="24"/>
          <w:u w:val="none"/>
          <w:shd w:fill="auto" w:val="clear"/>
          <w:vertAlign w:val="baseline"/>
        </w:rPr>
        <w:pStyle w:val="P68B1DB1-Normal8"/>
      </w:pPr>
      <w:r>
        <w:t xml:space="preserve">Što vas najviše iznenađuje u vezi s inicijativom Gradske uprave Pariza za podučavanje odraslih? </w:t>
      </w:r>
    </w:p>
    <w:p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Quattrocento Sans" w:hAnsi="Quattrocento Sans" w:cs="Quattrocento Sans" w:eastAsia="Quattrocento Sans"/>
          <w:b w:val="0"/>
          <w:i w:val="0"/>
          <w:smallCaps w:val="0"/>
          <w:strike w:val="0"/>
          <w:color w:val="000000"/>
          <w:sz w:val="24"/>
          <w:u w:val="none"/>
          <w:shd w:fill="auto" w:val="clear"/>
          <w:vertAlign w:val="baseline"/>
        </w:rPr>
        <w:pStyle w:val="P68B1DB1-Normal8"/>
      </w:pPr>
      <w:r>
        <w:t xml:space="preserve">Na koji su način ti programi/inicijative nadišli samo podučavanje jezičnih vještina? </w:t>
      </w:r>
    </w:p>
    <w:p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Quattrocento Sans" w:hAnsi="Quattrocento Sans" w:cs="Quattrocento Sans" w:eastAsia="Quattrocento Sans"/>
          <w:b w:val="0"/>
          <w:i w:val="0"/>
          <w:smallCaps w:val="0"/>
          <w:strike w:val="0"/>
          <w:color w:val="000000"/>
          <w:sz w:val="24"/>
          <w:u w:val="none"/>
          <w:shd w:fill="auto" w:val="clear"/>
          <w:vertAlign w:val="baseline"/>
        </w:rPr>
        <w:pStyle w:val="P68B1DB1-Normal8"/>
      </w:pPr>
      <w:r>
        <w:t xml:space="preserve">Što je jedan ključni zaključak koji ćete ponijeti sa sobom iz ove studije slučaja i aktivnosti? Kako ćete ga primijeniti na vlastiti život ili posao?</w:t>
      </w:r>
    </w:p>
    <w:p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Quattrocento Sans" w:hAnsi="Quattrocento Sans" w:cs="Quattrocento Sans" w:eastAsia="Quattrocento Sans"/>
          <w:b w:val="0"/>
          <w:i w:val="0"/>
          <w:smallCaps w:val="0"/>
          <w:strike w:val="0"/>
          <w:color w:val="000000"/>
          <w:sz w:val="24"/>
          <w:u w:val="none"/>
          <w:shd w:fill="auto" w:val="clear"/>
          <w:vertAlign w:val="baseline"/>
        </w:rPr>
        <w:pStyle w:val="P68B1DB1-Normal8"/>
      </w:pPr>
      <w:r>
        <w:t xml:space="preserve">Kakav je bio vaš doživljaj tijekom aktivnosti „Malo kulturnog putovanja kod kuće”? Je li vam pomogao u poboljšanju jezičnih vještina? </w:t>
      </w:r>
    </w:p>
    <w:p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Quattrocento Sans" w:hAnsi="Quattrocento Sans" w:cs="Quattrocento Sans" w:eastAsia="Quattrocento Sans"/>
          <w:b w:val="0"/>
          <w:i w:val="0"/>
          <w:smallCaps w:val="0"/>
          <w:strike w:val="0"/>
          <w:color w:val="000000"/>
          <w:sz w:val="24"/>
          <w:u w:val="none"/>
          <w:shd w:fill="auto" w:val="clear"/>
          <w:vertAlign w:val="baseline"/>
        </w:rPr>
        <w:pStyle w:val="P68B1DB1-Normal7"/>
      </w:pPr>
      <w:r>
        <w:rPr>
          <w:color w:val="000000"/>
          <w:shd w:fill="auto" w:val="clear"/>
        </w:rPr>
        <w:t xml:space="preserve">Kako se kultura može </w:t>
      </w:r>
      <w:r>
        <w:rPr>
          <w:color w:val="000000"/>
          <w:shd w:fill="auto" w:val="clear"/>
        </w:rPr>
        <w:t xml:space="preserve">uključiti u programe obrazovanja ili osposobljavanja za niskokvalificirane odrasle osobe kako bi se poboljšale njihove jezične vještine? </w:t>
      </w:r>
      <w:r>
        <w:t xml:space="preserve"> </w:t>
      </w:r>
    </w:p>
    <w:p w14:paraId="0000001D"/>
    <w:p w14:paraId="0000001E">
      <w:pPr>
        <w:jc w:val="center"/>
        <w:pStyle w:val="P68B1DB1-Normal9"/>
      </w:pPr>
      <w:r>
        <w:drawing>
          <wp:anchor allowOverlap="1" behindDoc="0" distB="0" distT="0" distL="114300" distR="114300" hidden="0" layoutInCell="1" locked="0" relativeHeight="0" simplePos="0">
            <wp:simplePos x="0" y="0"/>
            <wp:positionH relativeFrom="margin">
              <wp:posOffset>-914399</wp:posOffset>
            </wp:positionH>
            <wp:positionV relativeFrom="margin">
              <wp:posOffset>-931544</wp:posOffset>
            </wp:positionV>
            <wp:extent cx="7625715" cy="10765155"/>
            <wp:effectExtent b="0" l="0" r="0" t="0"/>
            <wp:wrapSquare wrapText="bothSides" distB="0" distT="0" distL="114300" distR="114300"/>
            <wp:docPr descr="Timeline  Description automatically generated" id="7" name="image2.png"/>
            <a:graphic>
              <a:graphicData uri="http://schemas.openxmlformats.org/drawingml/2006/picture">
                <pic:pic>
                  <pic:nvPicPr>
                    <pic:cNvPr descr="Timeline  Description automatically generated" id="0" name="image2.png"/>
                    <pic:cNvPicPr preferRelativeResize="0"/>
                  </pic:nvPicPr>
                  <pic:blipFill>
                    <a:blip r:embed="rId9"/>
                    <a:srcRect b="0" l="0" r="0" t="0"/>
                    <a:stretch>
                      <a:fillRect/>
                    </a:stretch>
                  </pic:blipFill>
                  <pic:spPr>
                    <a:xfrm>
                      <a:off x="0" y="0"/>
                      <a:ext cx="7625715" cy="10765155"/>
                    </a:xfrm>
                    <a:prstGeom prst="rect"/>
                    <a:ln/>
                  </pic:spPr>
                </pic:pic>
              </a:graphicData>
            </a:graphic>
          </wp:anchor>
        </w:drawing>
        <w:t xml:space="preserve"> </w:t>
      </w:r>
    </w:p>
    <w:sectPr>
      <w:headerReference r:id="rId10" w:type="first"/>
      <w:footerReference r:id="rId11"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bas Neue">
    <w:embedRegular w:fontKey="{00000000-0000-0000-0000-000000000000}" r:id="rId1" w:subsetted="0"/>
  </w:font>
  <w:font w:name="Quattrocento Sans">
    <w:embedBold w:fontKey="{00000000-0000-0000-0000-000000000000}" r:id="rId2" w:subsetted="0"/>
    <w:embedBoldItalic w:fontKey="{00000000-0000-0000-0000-000000000000}" r:id="rId3" w:subsetted="0"/>
  </w:font>
  <w:font w:name="Noto Sans Symbols">
    <w:embedRegular w:fontKey="{00000000-0000-0000-0000-000000000000}" r:id="rId4" w:subsetted="0"/>
    <w:embedBold w:fontKey="{00000000-0000-0000-0000-000000000000}" r:id="rId5"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hAnsi="Calibri" w:cs="Calibri" w:eastAsia="Calibri"/>
        <w:b w:val="0"/>
        <w:i w:val="0"/>
        <w:smallCaps w:val="0"/>
        <w:strike w:val="0"/>
        <w:color w:val="000000"/>
        <w:sz w:val="22"/>
        <w:u w:val="none"/>
        <w:shd w:fill="auto" w:val="clear"/>
        <w:vertAlign w:val="baseline"/>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hAnsi="Calibri" w:cs="Calibri" w:eastAsia="Calibri"/>
        <w:b w:val="0"/>
        <w:i w:val="0"/>
        <w:smallCaps w:val="0"/>
        <w:strike w:val="0"/>
        <w:color w:val="000000"/>
        <w:sz w:val="22"/>
        <w:u w:val="none"/>
        <w:shd w:fill="auto" w:val="clear"/>
        <w:vertAlign w:val="baseline"/>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pPrDefault>
      <w:pPr>
        <w:spacing w:after="160" w:line="259" w:lineRule="auto"/>
      </w:pPr>
    </w:pPrDefault>
    <w:rPrDefault>
      <w:rPr>
        <w:rFonts w:ascii="Calibri" w:hAnsi="Calibri" w:cs="Calibri" w:eastAsia="Calibri"/>
        <w:sz w:val="22"/>
      </w:rPr>
    </w:rPrDefault>
  </w:docDefaults>
  <w:style w:type="paragraph" w:styleId="Normal" w:default="1">
    <w:name w:val="Normal"/>
    <w:qFormat w:val="1"/>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hAnsi="Calibri" w:cs="Calibri" w:eastAsia="Calibri"/>
      <w:color w:val="225c99"/>
      <w:sz w:val="32"/>
    </w:rPr>
  </w:style>
  <w:style w:type="paragraph" w:styleId="Heading2">
    <w:name w:val="heading 2"/>
    <w:basedOn w:val="Normal"/>
    <w:next w:val="Normal"/>
    <w:pPr>
      <w:keepNext w:val="1"/>
      <w:keepLines w:val="1"/>
      <w:spacing w:after="0" w:before="40" w:lineRule="auto"/>
    </w:pPr>
    <w:rPr>
      <w:rFonts w:ascii="Calibri" w:hAnsi="Calibri" w:cs="Calibri" w:eastAsia="Calibri"/>
      <w:color w:val="ffc000"/>
      <w:sz w:val="26"/>
    </w:rPr>
  </w:style>
  <w:style w:type="paragraph" w:styleId="Heading3">
    <w:name w:val="heading 3"/>
    <w:basedOn w:val="Normal"/>
    <w:next w:val="Normal"/>
    <w:pPr>
      <w:keepNext w:val="1"/>
      <w:keepLines w:val="1"/>
      <w:pageBreakBefore w:val="0"/>
      <w:spacing w:after="80" w:before="280" w:lineRule="auto"/>
    </w:pPr>
    <w:rPr>
      <w:b w:val="1"/>
      <w:sz w:val="28"/>
    </w:rPr>
  </w:style>
  <w:style w:type="paragraph" w:styleId="Heading4">
    <w:name w:val="heading 4"/>
    <w:basedOn w:val="Normal"/>
    <w:next w:val="Normal"/>
    <w:pPr>
      <w:keepNext w:val="1"/>
      <w:keepLines w:val="1"/>
      <w:pageBreakBefore w:val="0"/>
      <w:spacing w:after="40" w:before="240" w:lineRule="auto"/>
    </w:pPr>
    <w:rPr>
      <w:b w:val="1"/>
      <w:sz w:val="24"/>
    </w:rPr>
  </w:style>
  <w:style w:type="paragraph" w:styleId="Heading5">
    <w:name w:val="heading 5"/>
    <w:basedOn w:val="Normal"/>
    <w:next w:val="Normal"/>
    <w:pPr>
      <w:keepNext w:val="1"/>
      <w:keepLines w:val="1"/>
      <w:pageBreakBefore w:val="0"/>
      <w:spacing w:after="40" w:before="220" w:lineRule="auto"/>
    </w:pPr>
    <w:rPr>
      <w:b w:val="1"/>
      <w:sz w:val="22"/>
    </w:rPr>
  </w:style>
  <w:style w:type="paragraph" w:styleId="Heading6">
    <w:name w:val="heading 6"/>
    <w:basedOn w:val="Normal"/>
    <w:next w:val="Normal"/>
    <w:pPr>
      <w:keepNext w:val="1"/>
      <w:keepLines w:val="1"/>
      <w:pageBreakBefore w:val="0"/>
      <w:spacing w:after="40" w:before="200" w:lineRule="auto"/>
    </w:pPr>
    <w:rPr>
      <w:b w:val="1"/>
      <w:sz w:val="20"/>
    </w:rPr>
  </w:style>
  <w:style w:type="paragraph" w:styleId="Title">
    <w:name w:val="Title"/>
    <w:basedOn w:val="Normal"/>
    <w:next w:val="Normal"/>
    <w:pPr>
      <w:keepNext w:val="1"/>
      <w:keepLines w:val="1"/>
      <w:pageBreakBefore w:val="0"/>
      <w:spacing w:after="120" w:before="480" w:lineRule="auto"/>
    </w:pPr>
    <w:rPr>
      <w:b w:val="1"/>
      <w:sz w:val="72"/>
    </w:rPr>
  </w:style>
  <w:style w:type="paragraph" w:styleId="Titre1">
    <w:name w:val="heading 1"/>
    <w:basedOn w:val="Normal"/>
    <w:next w:val="Normal"/>
    <w:link w:val="Titre1Car"/>
    <w:uiPriority w:val="9"/>
    <w:qFormat w:val="1"/>
    <w:rsid w:val="002B6AE4"/>
    <w:pPr>
      <w:keepNext w:val="1"/>
      <w:keepLines w:val="1"/>
      <w:spacing w:after="0" w:before="240" w:line="240" w:lineRule="auto"/>
      <w:outlineLvl w:val="0"/>
    </w:pPr>
    <w:rPr>
      <w:rFonts w:asciiTheme="majorHAnsi" w:hAnsiTheme="majorHAnsi" w:cstheme="majorBidi" w:eastAsiaTheme="majorEastAsia"/>
      <w:color w:val="225c99"/>
      <w:sz w:val="32"/>
    </w:rPr>
  </w:style>
  <w:style w:type="paragraph" w:styleId="Titre2">
    <w:name w:val="heading 2"/>
    <w:basedOn w:val="Normal"/>
    <w:next w:val="Normal"/>
    <w:link w:val="Titre2Car"/>
    <w:uiPriority w:val="9"/>
    <w:unhideWhenUsed w:val="1"/>
    <w:qFormat w:val="1"/>
    <w:rsid w:val="00C642B8"/>
    <w:pPr>
      <w:keepNext w:val="1"/>
      <w:keepLines w:val="1"/>
      <w:spacing w:after="0" w:before="40"/>
      <w:outlineLvl w:val="1"/>
    </w:pPr>
    <w:rPr>
      <w:rFonts w:asciiTheme="majorHAnsi" w:hAnsiTheme="majorHAnsi" w:cstheme="majorBidi" w:eastAsiaTheme="majorEastAsia"/>
      <w:color w:val="ffc000"/>
      <w:sz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2B6AE4"/>
    <w:pPr>
      <w:tabs>
        <w:tab w:val="center" w:pos="4513"/>
        <w:tab w:val="right" w:pos="9026"/>
      </w:tabs>
      <w:spacing w:after="0" w:line="240" w:lineRule="auto"/>
    </w:pPr>
  </w:style>
  <w:style w:type="character" w:styleId="En-tteCar" w:customStyle="1">
    <w:name w:val="En-tête Car"/>
    <w:basedOn w:val="Policepardfaut"/>
    <w:link w:val="En-tte"/>
    <w:uiPriority w:val="99"/>
    <w:rsid w:val="002B6AE4"/>
  </w:style>
  <w:style w:type="paragraph" w:styleId="Pieddepage">
    <w:name w:val="footer"/>
    <w:basedOn w:val="Normal"/>
    <w:link w:val="PieddepageCar"/>
    <w:uiPriority w:val="99"/>
    <w:unhideWhenUsed w:val="1"/>
    <w:rsid w:val="002B6AE4"/>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2B6AE4"/>
  </w:style>
  <w:style w:type="character" w:styleId="Titre1Car" w:customStyle="1">
    <w:name w:val="Titre 1 Car"/>
    <w:basedOn w:val="Policepardfaut"/>
    <w:link w:val="Titre1"/>
    <w:uiPriority w:val="9"/>
    <w:rsid w:val="002B6AE4"/>
    <w:rPr>
      <w:rFonts w:asciiTheme="majorHAnsi" w:hAnsiTheme="majorHAnsi" w:cstheme="majorBidi" w:eastAsiaTheme="majorEastAsia"/>
      <w:color w:val="225c99"/>
      <w:sz w:val="32"/>
    </w:rPr>
  </w:style>
  <w:style w:type="character" w:styleId="Titre2Car" w:customStyle="1">
    <w:name w:val="Titre 2 Car"/>
    <w:basedOn w:val="Policepardfaut"/>
    <w:link w:val="Titre2"/>
    <w:uiPriority w:val="9"/>
    <w:rsid w:val="00C642B8"/>
    <w:rPr>
      <w:rFonts w:asciiTheme="majorHAnsi" w:hAnsiTheme="majorHAnsi" w:cstheme="majorBidi" w:eastAsiaTheme="majorEastAsia"/>
      <w:color w:val="ffc000"/>
      <w:sz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hAnsi="Times New Roman" w:cs="Times New Roman" w:eastAsia="Times New Roman"/>
      <w:sz w:val="24"/>
    </w:rPr>
  </w:style>
  <w:style w:type="paragraph" w:styleId="Sansinterligne">
    <w:name w:val="No Spacing"/>
    <w:uiPriority w:val="1"/>
    <w:qFormat w:val="1"/>
    <w:rsid w:val="00026A45"/>
    <w:pPr>
      <w:spacing w:after="0" w:line="240" w:lineRule="auto"/>
    </w:pPr>
  </w:style>
  <w:style w:type="paragraph" w:styleId="Paragraphedeliste">
    <w:name w:val="List Paragraph"/>
    <w:basedOn w:val="Normal"/>
    <w:uiPriority w:val="34"/>
    <w:qFormat w:val="1"/>
    <w:rsid w:val="00C642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hAnsi="Georgia" w:cs="Georgia" w:eastAsia="Georgia"/>
      <w:i w:val="1"/>
      <w:color w:val="666666"/>
      <w:sz w:val="48"/>
    </w:rPr>
  </w:style>
  <w:style w:type="paragraph" w:styleId="P68B1DB1-Normal1">
    <w:name w:val="P68B1DB1-Normal1"/>
    <w:basedOn w:val="Normal"/>
    <w:rPr>
      <w:rFonts w:ascii="Bebas Neue" w:hAnsi="Bebas Neue" w:cs="Bebas Neue" w:eastAsia="Bebas Neue"/>
      <w:color w:val="f5b335"/>
      <w:sz w:val="72"/>
    </w:rPr>
  </w:style>
  <w:style w:type="paragraph" w:styleId="P68B1DB1-Normal2">
    <w:name w:val="P68B1DB1-Normal2"/>
    <w:basedOn w:val="Normal"/>
    <w:rPr>
      <w:rFonts w:ascii="Bebas Neue" w:hAnsi="Bebas Neue" w:cs="Bebas Neue" w:eastAsia="Bebas Neue"/>
      <w:color w:val="000000"/>
      <w:sz w:val="64"/>
    </w:rPr>
  </w:style>
  <w:style w:type="paragraph" w:styleId="P68B1DB1-Heading23">
    <w:name w:val="P68B1DB1-Heading23"/>
    <w:basedOn w:val="Heading2"/>
    <w:rPr>
      <w:rFonts w:ascii="Bebas Neue" w:hAnsi="Bebas Neue" w:cs="Bebas Neue" w:eastAsia="Bebas Neue"/>
      <w:color w:val="f5b335"/>
      <w:sz w:val="48"/>
    </w:rPr>
  </w:style>
  <w:style w:type="paragraph" w:styleId="P68B1DB1-Heading24">
    <w:name w:val="P68B1DB1-Heading24"/>
    <w:basedOn w:val="Heading2"/>
    <w:rPr>
      <w:rFonts w:ascii="Quattrocento Sans" w:hAnsi="Quattrocento Sans" w:cs="Quattrocento Sans" w:eastAsia="Quattrocento Sans"/>
      <w:b w:val="1"/>
      <w:color w:val="1f2126"/>
      <w:sz w:val="36"/>
    </w:rPr>
  </w:style>
  <w:style w:type="paragraph" w:styleId="P68B1DB1-Normal5">
    <w:name w:val="P68B1DB1-Normal5"/>
    <w:basedOn w:val="Normal"/>
    <w:rPr>
      <w:rFonts w:ascii="Quattrocento Sans" w:hAnsi="Quattrocento Sans" w:cs="Quattrocento Sans" w:eastAsia="Quattrocento Sans"/>
      <w:color w:val="000000"/>
      <w:sz w:val="24"/>
    </w:rPr>
  </w:style>
  <w:style w:type="paragraph" w:styleId="P68B1DB1-Heading26">
    <w:name w:val="P68B1DB1-Heading26"/>
    <w:basedOn w:val="Heading2"/>
    <w:rPr>
      <w:rFonts w:ascii="Quattrocento Sans" w:hAnsi="Quattrocento Sans" w:cs="Quattrocento Sans" w:eastAsia="Quattrocento Sans"/>
      <w:sz w:val="24"/>
    </w:rPr>
  </w:style>
  <w:style w:type="paragraph" w:styleId="P68B1DB1-Normal7">
    <w:name w:val="P68B1DB1-Normal7"/>
    <w:basedOn w:val="Normal"/>
    <w:rPr>
      <w:rFonts w:ascii="Quattrocento Sans" w:hAnsi="Quattrocento Sans" w:cs="Quattrocento Sans" w:eastAsia="Quattrocento Sans"/>
      <w:sz w:val="24"/>
    </w:rPr>
  </w:style>
  <w:style w:type="paragraph" w:styleId="P68B1DB1-Normal8">
    <w:name w:val="P68B1DB1-Normal8"/>
    <w:basedOn w:val="Normal"/>
    <w:rPr>
      <w:rFonts w:ascii="Quattrocento Sans" w:hAnsi="Quattrocento Sans" w:cs="Quattrocento Sans" w:eastAsia="Quattrocento Sans"/>
      <w:color w:val="000000"/>
      <w:sz w:val="24"/>
      <w:shd w:fill="auto" w:val="clear"/>
    </w:rPr>
  </w:style>
  <w:style w:type="paragraph" w:styleId="P68B1DB1-Normal9">
    <w:name w:val="P68B1DB1-Normal9"/>
    <w:basedOn w:val="Normal"/>
    <w:rPr>
      <w:rFonts w:ascii="Source Sans Pro" w:hAnsi="Source Sans Pro" w:cs="Source Sans Pro" w:eastAsia="Source Sans Pro"/>
      <w:color w:val="00000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bold.ttf"/><Relationship Id="rId3" Type="http://schemas.openxmlformats.org/officeDocument/2006/relationships/font" Target="fonts/QuattrocentoSans-bold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UUBm9pagbTkTYM5ZJoLpTs74yQ==">CgMxLjAyCGguZ2pkZ3hzOAByITFQRVlNSHRxb3lZZXYwUF9MRmU0bmloQkFIZ3N6d1Q2Rw==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2023-02-14T11:52:00Z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