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7" w:type="default"/>
          <w:headerReference r:id="rId8" w:type="first"/>
          <w:footerReference r:id="rId9" w:type="default"/>
          <w:footerReference r:id="rId10"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-142238</wp:posOffset>
            </wp:positionH>
            <wp:positionV relativeFrom="margin">
              <wp:posOffset>-239393</wp:posOffset>
            </wp:positionV>
            <wp:extent cx="7625715" cy="10782300"/>
            <wp:effectExtent b="0" l="0" r="0" t="0"/>
            <wp:wrapSquare wrapText="bothSides" distB="0" distT="0" distL="114300" distR="114300"/>
            <wp:docPr descr="Shape  Description automatically generated" id="8" name="image5.png"/>
            <a:graphic>
              <a:graphicData uri="http://schemas.openxmlformats.org/drawingml/2006/picture">
                <pic:pic>
                  <pic:nvPicPr>
                    <pic:cNvPr descr="Shape  Description automatically generated" id="0" name="image5.png"/>
                    <pic:cNvPicPr preferRelativeResize="0"/>
                  </pic:nvPicPr>
                  <pic:blipFill>
                    <a:blip r:embed="rId11"/>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Osobna, društvena i kompetencija učenja kako učiti + umjetnost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Materijali za polaznike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Sadržaj</w:t>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color w:val="2f5496"/>
              <w:u w:val="none"/>
              <w:rtl w:val="0"/>
            </w:rPr>
            <w:t xml:space="preserve">Što </w:t>
          </w:r>
          <w:r w:rsidDel="00000000" w:rsidR="00000000" w:rsidRPr="00000000">
            <w:rPr>
              <w:color w:val="2f5496"/>
              <w:rtl w:val="0"/>
            </w:rPr>
            <w:t xml:space="preserve">su osobna, društvena i kompetencija učenja kako učiti?</w:t>
          </w: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3</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color w:val="000000"/>
              <w:u w:val="none"/>
              <w:rtl w:val="0"/>
            </w:rPr>
            <w:t xml:space="preserve">Koja j</w:t>
          </w:r>
          <w:r w:rsidDel="00000000" w:rsidR="00000000" w:rsidRPr="00000000">
            <w:rPr>
              <w:rtl w:val="0"/>
            </w:rPr>
            <w:t xml:space="preserve">e poveznica između osobne, društvene i kompetencije učenja kako učiti s umjetnosti?</w:t>
          </w: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color w:val="000000"/>
              <w:u w:val="none"/>
              <w:rtl w:val="0"/>
            </w:rPr>
            <w:t xml:space="preserve">Studija slučaja</w:t>
          </w: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color w:val="000000"/>
              <w:u w:val="none"/>
              <w:rtl w:val="0"/>
            </w:rPr>
            <w:t xml:space="preserve">Aktivnost učenja</w:t>
          </w: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color w:val="000000"/>
              <w:u w:val="none"/>
              <w:rtl w:val="0"/>
            </w:rPr>
            <w:t xml:space="preserve">Dodatni materijali </w:t>
          </w:r>
          <w:r w:rsidDel="00000000" w:rsidR="00000000" w:rsidRPr="00000000">
            <w:rPr>
              <w:rtl w:val="0"/>
            </w:rPr>
            <w:t xml:space="preserve">za učenje</w:t>
          </w: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A">
      <w:pPr>
        <w:rPr>
          <w:rFonts w:ascii="Bebas Neue" w:cs="Bebas Neue" w:eastAsia="Bebas Neue" w:hAnsi="Bebas Neue"/>
          <w:color w:val="ff9900"/>
          <w:sz w:val="56"/>
          <w:szCs w:val="56"/>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C">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D">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E">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F">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0">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1">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2">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3">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225c99"/>
          <w:sz w:val="32"/>
          <w:szCs w:val="32"/>
          <w:u w:val="none"/>
          <w:shd w:fill="auto" w:val="clear"/>
          <w:vertAlign w:val="baseline"/>
          <w:rtl w:val="0"/>
        </w:rPr>
        <w:t xml:space="preserve">Što je osobna, društvena i kompetencija učenja kako učiti? </w:t>
      </w:r>
    </w:p>
    <w:p w:rsidR="00000000" w:rsidDel="00000000" w:rsidP="00000000" w:rsidRDefault="00000000" w:rsidRPr="00000000" w14:paraId="00000017">
      <w:pPr>
        <w:ind w:left="360" w:firstLine="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Vijeće Europske unije u svojoj Preporuci od 22. svibnja 2018. definiralo je osobnu, društvenu i sposobnost učenja kako učiti kao kompetenciju razmišljanja o sebi, učinkovitog upravljanja vremenom i informacijama, rada s drugima na konstruktivan način, otpornosti i upravljanja vlastitim učenjem i karijerom. Uključuje sposobnost suočavanja s nesigurnošću i složenošću, učenje kako učiti, podržavanje tjelesnog i emocionalnog blagostanja, održavanje tjelesnog i mentalnog zdravlja te sposobnost vođenja zdravstveno osviještenog, budućnosti orijentiranog života, suosjećanja i upravljanja sukobima u inkluzivnom i potpornom kontekstu.</w:t>
      </w:r>
    </w:p>
    <w:p w:rsidR="00000000" w:rsidDel="00000000" w:rsidP="00000000" w:rsidRDefault="00000000" w:rsidRPr="00000000" w14:paraId="00000019">
      <w:pPr>
        <w:spacing w:line="360" w:lineRule="auto"/>
        <w:jc w:val="both"/>
        <w:rPr>
          <w:sz w:val="24"/>
          <w:szCs w:val="24"/>
        </w:rPr>
      </w:pPr>
      <w:r w:rsidDel="00000000" w:rsidR="00000000" w:rsidRPr="00000000">
        <w:rPr>
          <w:sz w:val="24"/>
          <w:szCs w:val="24"/>
          <w:rtl w:val="0"/>
        </w:rPr>
        <w:t xml:space="preserve">Drugim riječima, učenje kako učiti (L2L) je sposobnost razvijanja samosvijesti, praćenja i ustrajanja u učenju te organiziranja vlastitog učenja. To uključuje dobro upravljanje vremenom i informacijama, pojedinačno i u grupama.</w:t>
      </w:r>
      <w:r w:rsidDel="00000000" w:rsidR="00000000" w:rsidRPr="00000000">
        <w:drawing>
          <wp:anchor allowOverlap="1" behindDoc="0" distB="0" distT="0" distL="114300" distR="114300" hidden="0" layoutInCell="1" locked="0" relativeHeight="0" simplePos="0">
            <wp:simplePos x="0" y="0"/>
            <wp:positionH relativeFrom="column">
              <wp:posOffset>3194050</wp:posOffset>
            </wp:positionH>
            <wp:positionV relativeFrom="paragraph">
              <wp:posOffset>46990</wp:posOffset>
            </wp:positionV>
            <wp:extent cx="2514600" cy="1675765"/>
            <wp:effectExtent b="0" l="0" r="0" t="0"/>
            <wp:wrapSquare wrapText="bothSides" distB="0" distT="0" distL="114300" distR="114300"/>
            <wp:docPr id="10"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2514600" cy="1675765"/>
                    </a:xfrm>
                    <a:prstGeom prst="rect"/>
                    <a:ln/>
                  </pic:spPr>
                </pic:pic>
              </a:graphicData>
            </a:graphic>
          </wp:anchor>
        </w:draw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Ova vještina uključuje svjesnost o tome kako učite i vašim zahtjevima za učenjem, uočavanje prilika kada se pojave i prevladavanje izazova za učinkovito učenje. Da bismo bili kompetentni, moramo stjecati, obrađivati i asimilirati nova znanja i sposobnosti uz traženje i korištenje smjernica.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Kako biste koristili i primjenjivali znanja i vještine u nizu konteksta, uključujući kod kuće, u školi, u organizacijama mladih, na poslu te u obrazovanju i osposobljavanju, morate se moći osloniti na ranije iskustvo učenja i života. To je ono što se podrazumijeva pod "učenjem kako učiti". To je transverzalna vještina, često poznata kao meka vještina, što znači da se može koristiti ili primijeniti na bilo koji predmet ili postavku.</w:t>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225c99"/>
          <w:sz w:val="32"/>
          <w:szCs w:val="32"/>
          <w:u w:val="none"/>
          <w:shd w:fill="auto" w:val="clear"/>
          <w:vertAlign w:val="baseline"/>
          <w:rtl w:val="0"/>
        </w:rPr>
        <w:t xml:space="preserve">Koja je veza između osobne, društvene i L2L kompetencije s umjetnošću?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Doista, umjetnost je nevjerojatan alat za demonstriranje kognitivnih strategija koje pomažu polaznicima da istraže nove sadržaje i pokažu razumiju li zapravo ono što pokušavaju naučiti. Vještine razmišljanja bitne su za sve polaznike, a umjetničko stvaranje i susret s umjetnošću pružaju mogućnosti za složeno razmišljanje. </w:t>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Umjetnost se može koristiti kao pomoć za podršku L2L kompetenciji. Doista, crtanje slika ili dijagrama može pomoći polaznicima da razumiju predmet. To je strategija koja je povezana s vizualnom umjetnošću. Rječnik, procesi i priče mogu se predstaviti kroz vizualnu umjetnost.</w:t>
      </w:r>
      <w:r w:rsidDel="00000000" w:rsidR="00000000" w:rsidRPr="00000000">
        <w:rPr>
          <w:rtl w:val="0"/>
        </w:rPr>
        <w:t xml:space="preserve"> </w:t>
      </w:r>
      <w:r w:rsidDel="00000000" w:rsidR="00000000" w:rsidRPr="00000000">
        <w:rPr>
          <w:sz w:val="24"/>
          <w:szCs w:val="24"/>
          <w:rtl w:val="0"/>
        </w:rPr>
        <w:t xml:space="preserve">Ako je polaznik kinestetičniji, pokret se također može koristiti za ilustraciju ideja. Pisanje poezije, pjesama i napjeva pomoću metafora i usporedbi može pomoći u "crtanju" razumijevanja riječima.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Štoviše, prije proizvodnje gotovog djela vizualne umjetnosti, mnogi umjetnici prvo izrađuju model ili skicu kako bi omogućili sadržajnu praksu. Ako se glazba, ples ili drama koriste za predstavljanje razumijevanja, tada je stvaranje i proba umjetnosti praksa za sadržaj koji se predstavlja. To znači da će vam umjetnost pomoći da naučite kako vježbati iznova i iznova dok ne uhvatite temu. </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29210</wp:posOffset>
            </wp:positionV>
            <wp:extent cx="2476500" cy="1696085"/>
            <wp:effectExtent b="0" l="0" r="0" t="0"/>
            <wp:wrapSquare wrapText="bothSides" distB="0" distT="0" distL="114300" distR="114300"/>
            <wp:docPr id="9"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2476500" cy="1696085"/>
                    </a:xfrm>
                    <a:prstGeom prst="rect"/>
                    <a:ln/>
                  </pic:spPr>
                </pic:pic>
              </a:graphicData>
            </a:graphic>
          </wp:anchor>
        </w:drawing>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Konačno, umjetnost vam može pomoći da razmislite o svojoj strategiji razmišljanja kako biste provjerili razumijete li glavnu ideju predmeta. U istom smislu, kada ne razumijete nešto u predmetu, morate se vratiti na to. Doista, ako naiđete na nešto što ne znate ili u što niste sigurni, morate se vratiti na temu kako biste razjasnili razumijevanje prije nego što možete stvoriti umjetničko djelo.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Jednostavno je vidjeti kako polaznici mogu koristiti umjetnost kako bi im pomogli da postanu samopouzdaniji neovisni polaznici gledajući svaku od ovih učinkovitih tehnika učenja.</w:t>
      </w:r>
    </w:p>
    <w:p w:rsidR="00000000" w:rsidDel="00000000" w:rsidP="00000000" w:rsidRDefault="00000000" w:rsidRPr="00000000" w14:paraId="00000023">
      <w:pPr>
        <w:spacing w:line="360" w:lineRule="auto"/>
        <w:jc w:val="both"/>
        <w:rPr>
          <w:sz w:val="24"/>
          <w:szCs w:val="24"/>
        </w:rPr>
      </w:pPr>
      <w:r w:rsidDel="00000000" w:rsidR="00000000" w:rsidRPr="00000000">
        <w:rPr>
          <w:rtl w:val="0"/>
        </w:rPr>
      </w:r>
    </w:p>
    <w:p w:rsidR="00000000" w:rsidDel="00000000" w:rsidP="00000000" w:rsidRDefault="00000000" w:rsidRPr="00000000" w14:paraId="000000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225c99"/>
          <w:sz w:val="32"/>
          <w:szCs w:val="32"/>
          <w:u w:val="none"/>
          <w:shd w:fill="auto" w:val="clear"/>
          <w:vertAlign w:val="baseline"/>
          <w:rtl w:val="0"/>
        </w:rPr>
        <w:t xml:space="preserve">Studija slučaja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sz w:val="24"/>
          <w:szCs w:val="24"/>
          <w:rtl w:val="0"/>
        </w:rPr>
        <w:t xml:space="preserve">Program umjetničke rezidencije pod nazivom Learning Through Art (LTA) potiče kreativnost polaznika stvaranjem dugotrajnih umjetničkih djela usmjerenih na procese koja promiču učenje kroz nastavni plan i program. Kako bi se proizveli i olakšali umjetnički projekti koji su uključeni u školski kurikulum, inicijativa šalje profesionalne umjetnike u javne škole u New Yorku.</w:t>
      </w:r>
      <w:r w:rsidDel="00000000" w:rsidR="00000000" w:rsidRPr="00000000">
        <w:drawing>
          <wp:anchor allowOverlap="1" behindDoc="0" distB="0" distT="0" distL="114300" distR="114300" hidden="0" layoutInCell="1" locked="0" relativeHeight="0" simplePos="0">
            <wp:simplePos x="0" y="0"/>
            <wp:positionH relativeFrom="column">
              <wp:posOffset>3333750</wp:posOffset>
            </wp:positionH>
            <wp:positionV relativeFrom="paragraph">
              <wp:posOffset>29844</wp:posOffset>
            </wp:positionV>
            <wp:extent cx="2286000" cy="925195"/>
            <wp:effectExtent b="0" l="0" r="0" t="0"/>
            <wp:wrapSquare wrapText="bothSides" distB="0" distT="0" distL="114300" distR="114300"/>
            <wp:docPr descr="Learning Through Art, Inc." id="4" name="image1.jpg"/>
            <a:graphic>
              <a:graphicData uri="http://schemas.openxmlformats.org/drawingml/2006/picture">
                <pic:pic>
                  <pic:nvPicPr>
                    <pic:cNvPr descr="Learning Through Art, Inc." id="0" name="image1.jpg"/>
                    <pic:cNvPicPr preferRelativeResize="0"/>
                  </pic:nvPicPr>
                  <pic:blipFill>
                    <a:blip r:embed="rId15"/>
                    <a:srcRect b="0" l="0" r="0" t="0"/>
                    <a:stretch>
                      <a:fillRect/>
                    </a:stretch>
                  </pic:blipFill>
                  <pic:spPr>
                    <a:xfrm>
                      <a:off x="0" y="0"/>
                      <a:ext cx="2286000" cy="925195"/>
                    </a:xfrm>
                    <a:prstGeom prst="rect"/>
                    <a:ln/>
                  </pic:spPr>
                </pic:pic>
              </a:graphicData>
            </a:graphic>
          </wp:anchor>
        </w:drawing>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Tijekom 20-tjednog boravka u školi učenici iz svih pet školskih okruga istražuju, raspravljaju i stvaraju umjetnička djela. Posjet muzeju Guggenheim podržava rezidencije, pruža nove uvide u umjetnost i potiče učenike na kritičko razmišljanje o umjetnosti i idejama. Na kraju rezidencije odabrani studentski rad predstavit će se na godišnjoj izložbi Muzeja Guggenheim „Godina s djecom“.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Ako želite saznati više o ovoj inicijativi, posjetite </w:t>
      </w:r>
      <w:hyperlink r:id="rId1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internetsku stranicu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Ovaj program daje alate polaznicima za razvoj vještina rješavanja problema i kritičkog mišljenja. Doista, u usporedbi s učenicima koji nisu sudjelovali u ovom programu, studenti LTA-e imali su veću vjerojatnost da budu fleksibilni i imali su veću sposobnost prepoznavanja resursa koji su im potrebni za dovršetak zadatka. Umjetnost može omogućiti učenicima da sami otkriju stvari i sami nauče koje je najbolje rješenje. Više informacija potražite u ovom </w:t>
      </w:r>
      <w:hyperlink r:id="rId1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videozapisu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spacing w:line="360" w:lineRule="auto"/>
        <w:jc w:val="both"/>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 Koja se pitanja nastoje riješiti inicijativom „Učenje kroz umjetnost”?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 Želite li sudjelovati u ovoj vrsti projekta za razvoj osobnih, društvenih i L2L kompetencija?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 Možete li se sjetiti neke umjetničke discipline u kojoj uživate, a koja uključuje L2L vještine?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225c99"/>
          <w:sz w:val="32"/>
          <w:szCs w:val="32"/>
          <w:u w:val="none"/>
          <w:shd w:fill="auto" w:val="clear"/>
          <w:vertAlign w:val="baseline"/>
          <w:rtl w:val="0"/>
        </w:rPr>
        <w:t xml:space="preserve">Aktivnosti za učenje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bl>
      <w:tblPr>
        <w:tblStyle w:val="Table1"/>
        <w:tblW w:w="9224.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38"/>
        <w:gridCol w:w="2977"/>
        <w:gridCol w:w="1276"/>
        <w:gridCol w:w="3133"/>
        <w:tblGridChange w:id="0">
          <w:tblGrid>
            <w:gridCol w:w="1838"/>
            <w:gridCol w:w="2977"/>
            <w:gridCol w:w="1276"/>
            <w:gridCol w:w="3133"/>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Transverzalna tema </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Umjetničke discipline</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Naslov aktivnosti</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Crtanje i refleksija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Vrsta resursa</w:t>
            </w:r>
          </w:p>
        </w:tc>
        <w:tc>
          <w:tcPr>
            <w:gridSpan w:val="3"/>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Aktivnosti za učenje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Fotografija</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0" distT="0" distL="0" distR="0">
                  <wp:extent cx="2589877" cy="3884816"/>
                  <wp:effectExtent b="0" l="0" r="0" t="0"/>
                  <wp:docPr descr="persona che immerge il pennello sulla vernice" id="3" name="image2.jpg"/>
                  <a:graphic>
                    <a:graphicData uri="http://schemas.openxmlformats.org/drawingml/2006/picture">
                      <pic:pic>
                        <pic:nvPicPr>
                          <pic:cNvPr descr="persona che immerge il pennello sulla vernice" id="0" name="image2.jpg"/>
                          <pic:cNvPicPr preferRelativeResize="0"/>
                        </pic:nvPicPr>
                        <pic:blipFill>
                          <a:blip r:embed="rId18"/>
                          <a:srcRect b="0" l="0" r="0" t="0"/>
                          <a:stretch>
                            <a:fillRect/>
                          </a:stretch>
                        </pic:blipFill>
                        <pic:spPr>
                          <a:xfrm>
                            <a:off x="0" y="0"/>
                            <a:ext cx="2589877" cy="3884816"/>
                          </a:xfrm>
                          <a:prstGeom prst="rect"/>
                          <a:ln/>
                        </pic:spPr>
                      </pic:pic>
                    </a:graphicData>
                  </a:graphic>
                </wp:inline>
              </w:drawing>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Trajanje aktivnosti</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 minutama)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90 minuta </w:t>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Ishodi učenja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Samopouzdanje</w:t>
            </w:r>
          </w:p>
          <w:p w:rsidR="00000000" w:rsidDel="00000000" w:rsidP="00000000" w:rsidRDefault="00000000" w:rsidRPr="00000000" w14:paraId="0000004F">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Upravljanje vremenom </w:t>
            </w:r>
          </w:p>
          <w:p w:rsidR="00000000" w:rsidDel="00000000" w:rsidP="00000000" w:rsidRDefault="00000000" w:rsidRPr="00000000" w14:paraId="0000005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Otkrijte umjetničke discipline  </w:t>
            </w:r>
          </w:p>
          <w:p w:rsidR="00000000" w:rsidDel="00000000" w:rsidP="00000000" w:rsidRDefault="00000000" w:rsidRPr="00000000" w14:paraId="00000051">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Dijagnosticirajte vlastite potrebe za učenjem </w:t>
            </w:r>
          </w:p>
          <w:p w:rsidR="00000000" w:rsidDel="00000000" w:rsidP="00000000" w:rsidRDefault="00000000" w:rsidRPr="00000000" w14:paraId="0000005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Poznavanje sebe kao učenika </w:t>
            </w:r>
          </w:p>
        </w:tc>
      </w:tr>
      <w:tr>
        <w:trPr>
          <w:cantSplit w:val="0"/>
          <w:trHeight w:val="1347"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Cilj aktivnosti</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Ova aktivnost ima za cilj izgraditi vaše osobne, društvenei L2L vještine kroz temu umjetnosti , posebno kroz crtanje i slikanje. Cilj je naučiti kako učiti kroz umjetnost.  </w:t>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Materijali potrebni za aktivnost</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Papir  </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Olovke ili boja </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Olovke u boji </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Gumica za brisanje </w:t>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Detaljne upute</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spacing w:after="0" w:line="240" w:lineRule="auto"/>
              <w:jc w:val="both"/>
              <w:rPr>
                <w:color w:val="0e101a"/>
                <w:sz w:val="24"/>
                <w:szCs w:val="24"/>
              </w:rPr>
            </w:pPr>
            <w:r w:rsidDel="00000000" w:rsidR="00000000" w:rsidRPr="00000000">
              <w:rPr>
                <w:b w:val="1"/>
                <w:color w:val="0e101a"/>
                <w:sz w:val="24"/>
                <w:szCs w:val="24"/>
                <w:rtl w:val="0"/>
              </w:rPr>
              <w:t xml:space="preserve">1. korak</w:t>
            </w:r>
            <w:r w:rsidDel="00000000" w:rsidR="00000000" w:rsidRPr="00000000">
              <w:rPr>
                <w:color w:val="0e101a"/>
                <w:sz w:val="24"/>
                <w:szCs w:val="24"/>
                <w:rtl w:val="0"/>
              </w:rPr>
              <w:t xml:space="preserve">:</w:t>
            </w:r>
            <w:r w:rsidDel="00000000" w:rsidR="00000000" w:rsidRPr="00000000">
              <w:rPr>
                <w:rtl w:val="0"/>
              </w:rPr>
              <w:t xml:space="preserve"> </w:t>
            </w:r>
            <w:r w:rsidDel="00000000" w:rsidR="00000000" w:rsidRPr="00000000">
              <w:rPr>
                <w:color w:val="0e101a"/>
                <w:sz w:val="24"/>
                <w:szCs w:val="24"/>
                <w:rtl w:val="0"/>
              </w:rPr>
              <w:t xml:space="preserve">uzmite prazan list papira</w:t>
            </w:r>
          </w:p>
          <w:p w:rsidR="00000000" w:rsidDel="00000000" w:rsidP="00000000" w:rsidRDefault="00000000" w:rsidRPr="00000000" w14:paraId="00000060">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color w:val="0e101a"/>
                <w:sz w:val="24"/>
                <w:szCs w:val="24"/>
              </w:rPr>
            </w:pPr>
            <w:r w:rsidDel="00000000" w:rsidR="00000000" w:rsidRPr="00000000">
              <w:rPr>
                <w:b w:val="1"/>
                <w:color w:val="0e101a"/>
                <w:sz w:val="24"/>
                <w:szCs w:val="24"/>
                <w:rtl w:val="0"/>
              </w:rPr>
              <w:t xml:space="preserve">2. korak</w:t>
            </w:r>
            <w:r w:rsidDel="00000000" w:rsidR="00000000" w:rsidRPr="00000000">
              <w:rPr>
                <w:color w:val="0e101a"/>
                <w:sz w:val="24"/>
                <w:szCs w:val="24"/>
                <w:rtl w:val="0"/>
              </w:rPr>
              <w:t xml:space="preserve">:</w:t>
            </w:r>
            <w:r w:rsidDel="00000000" w:rsidR="00000000" w:rsidRPr="00000000">
              <w:rPr>
                <w:rtl w:val="0"/>
              </w:rPr>
              <w:t xml:space="preserve"> </w:t>
            </w:r>
            <w:r w:rsidDel="00000000" w:rsidR="00000000" w:rsidRPr="00000000">
              <w:rPr>
                <w:color w:val="0e101a"/>
                <w:sz w:val="24"/>
                <w:szCs w:val="24"/>
                <w:rtl w:val="0"/>
              </w:rPr>
              <w:t xml:space="preserve">Razmislite o nečemu što želite nacrtati. To može biti lice, životinja, krajolik ili nešto apstraktno. Međutim, vaš crtež mora biti nešto prilično značajno što se mora obaviti za najmanje 1 sat i najviše 1 sat i 30 minuta.</w:t>
            </w:r>
          </w:p>
          <w:p w:rsidR="00000000" w:rsidDel="00000000" w:rsidP="00000000" w:rsidRDefault="00000000" w:rsidRPr="00000000" w14:paraId="00000062">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color w:val="0e101a"/>
                <w:sz w:val="24"/>
                <w:szCs w:val="24"/>
              </w:rPr>
            </w:pPr>
            <w:r w:rsidDel="00000000" w:rsidR="00000000" w:rsidRPr="00000000">
              <w:rPr>
                <w:b w:val="1"/>
                <w:color w:val="0e101a"/>
                <w:sz w:val="24"/>
                <w:szCs w:val="24"/>
                <w:rtl w:val="0"/>
              </w:rPr>
              <w:t xml:space="preserve">Korak 3</w:t>
            </w:r>
            <w:r w:rsidDel="00000000" w:rsidR="00000000" w:rsidRPr="00000000">
              <w:rPr>
                <w:color w:val="0e101a"/>
                <w:sz w:val="24"/>
                <w:szCs w:val="24"/>
                <w:rtl w:val="0"/>
              </w:rPr>
              <w:t xml:space="preserve">:</w:t>
            </w:r>
            <w:r w:rsidDel="00000000" w:rsidR="00000000" w:rsidRPr="00000000">
              <w:rPr>
                <w:rtl w:val="0"/>
              </w:rPr>
              <w:t xml:space="preserve"> </w:t>
            </w:r>
            <w:r w:rsidDel="00000000" w:rsidR="00000000" w:rsidRPr="00000000">
              <w:rPr>
                <w:color w:val="0e101a"/>
                <w:sz w:val="24"/>
                <w:szCs w:val="24"/>
                <w:rtl w:val="0"/>
              </w:rPr>
              <w:t xml:space="preserve">Uzmite olovke, boju i odgovarajuće materijale.</w:t>
            </w:r>
          </w:p>
          <w:p w:rsidR="00000000" w:rsidDel="00000000" w:rsidP="00000000" w:rsidRDefault="00000000" w:rsidRPr="00000000" w14:paraId="00000064">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color w:val="0e101a"/>
                <w:sz w:val="24"/>
                <w:szCs w:val="24"/>
              </w:rPr>
            </w:pPr>
            <w:r w:rsidDel="00000000" w:rsidR="00000000" w:rsidRPr="00000000">
              <w:rPr>
                <w:b w:val="1"/>
                <w:color w:val="0e101a"/>
                <w:sz w:val="24"/>
                <w:szCs w:val="24"/>
                <w:rtl w:val="0"/>
              </w:rPr>
              <w:t xml:space="preserve">Korak 4</w:t>
            </w:r>
            <w:r w:rsidDel="00000000" w:rsidR="00000000" w:rsidRPr="00000000">
              <w:rPr>
                <w:color w:val="0e101a"/>
                <w:sz w:val="24"/>
                <w:szCs w:val="24"/>
                <w:rtl w:val="0"/>
              </w:rPr>
              <w:t xml:space="preserve">:</w:t>
            </w:r>
            <w:r w:rsidDel="00000000" w:rsidR="00000000" w:rsidRPr="00000000">
              <w:rPr>
                <w:rtl w:val="0"/>
              </w:rPr>
              <w:t xml:space="preserve"> </w:t>
            </w:r>
            <w:r w:rsidDel="00000000" w:rsidR="00000000" w:rsidRPr="00000000">
              <w:rPr>
                <w:color w:val="0e101a"/>
                <w:sz w:val="24"/>
                <w:szCs w:val="24"/>
                <w:rtl w:val="0"/>
              </w:rPr>
              <w:t xml:space="preserve">Nacrtajte ili obojite ono što ste odabrali.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6">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Korak 5</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Imate 1 sat minimalno i 1h30 maksimalno za svoj umjetnički rad.</w:t>
            </w:r>
          </w:p>
          <w:p w:rsidR="00000000" w:rsidDel="00000000" w:rsidP="00000000" w:rsidRDefault="00000000" w:rsidRPr="00000000" w14:paraId="00000068">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Korak 6</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Kada završite, pogledajte koliko vam je vremena trebalo da završite crtanje ili slikanje.</w:t>
            </w:r>
          </w:p>
          <w:p w:rsidR="00000000" w:rsidDel="00000000" w:rsidP="00000000" w:rsidRDefault="00000000" w:rsidRPr="00000000" w14:paraId="0000006A">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7. korak</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Sada odgovorite na ova pitanja. Odvojite malo vremena da razmislite o tome što želite odgovoriti. </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Koje ste strategije koristili za crtanje ili slikanje? </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Što nije funkcioniralo tako dobro?</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Što biste sljedeći put promijenili?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U kojoj ste mjeri iskoristili sve dostupne podrške za učenje? </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Jeste li se borili s motivacijom?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Jeste li imali neke nedoumice u vezi s vježbom?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Jeste  li  na vrijeme dovršili aktivnost? Ako ne, kako se možete poboljšati?  </w:t>
            </w:r>
          </w:p>
          <w:p w:rsidR="00000000" w:rsidDel="00000000" w:rsidP="00000000" w:rsidRDefault="00000000" w:rsidRPr="00000000" w14:paraId="00000073">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Korak 8: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Nakon što odgovorite na ova pitanja, pokušajte pronaći pozitivne i negativne strane svoje metode rada. Zapišite ih)</w:t>
            </w:r>
          </w:p>
          <w:p w:rsidR="00000000" w:rsidDel="00000000" w:rsidP="00000000" w:rsidRDefault="00000000" w:rsidRPr="00000000" w14:paraId="00000075">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Korak 9</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Sada možete pokušati ponoviti ovu aktivnost crtajući nešto drugo i nadograđujući svoje pozitivne bodove i pokušavajući poboljšati svoje negativne bodove</w:t>
            </w: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0"/>
          <w:strike w:val="0"/>
          <w:color w:val="225c99"/>
          <w:sz w:val="32"/>
          <w:szCs w:val="32"/>
          <w:u w:val="none"/>
          <w:shd w:fill="auto" w:val="clear"/>
          <w:vertAlign w:val="baseline"/>
          <w:rtl w:val="0"/>
        </w:rPr>
        <w:t xml:space="preserve">Dodatni materijali za čitanje ili učenje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Čestitamo, došli ste do ove točke i dovršili svoje aktivnosti samorefleksije vezane uz umjetničke discipline. Što slijedi? Ako želite saznati više o temama koje ste do sada obradili u ovoj lekciji, pripremili smo za vas sljedeće dodatne materijale za čitanje. Ovaj odjeljak predstavlja neke poveznice na dodatne materijale i videozapise koje smo pronašli na mreži za koje smatramo da će vam pomoći da poduzmete sljedeći korak u razvoju svog znanja. </w:t>
      </w:r>
    </w:p>
    <w:tbl>
      <w:tblPr>
        <w:tblStyle w:val="Table2"/>
        <w:tblW w:w="907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4"/>
        <w:gridCol w:w="7418"/>
        <w:tblGridChange w:id="0">
          <w:tblGrid>
            <w:gridCol w:w="1654"/>
            <w:gridCol w:w="7418"/>
          </w:tblGrid>
        </w:tblGridChange>
      </w:tblGrid>
      <w:tr>
        <w:trPr>
          <w:cantSplit w:val="0"/>
          <w:trHeight w:val="55" w:hRule="atLeast"/>
          <w:tblHeader w:val="0"/>
        </w:trPr>
        <w:tc>
          <w:tcPr>
            <w:shd w:fill="ed7d31"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Naslov resursa:</w:t>
            </w:r>
          </w:p>
        </w:tc>
        <w:tc>
          <w:tcPr/>
          <w:p w:rsidR="00000000" w:rsidDel="00000000" w:rsidP="00000000" w:rsidRDefault="00000000" w:rsidRPr="00000000" w14:paraId="0000007E">
            <w:pPr>
              <w:spacing w:after="120" w:before="120" w:line="276" w:lineRule="auto"/>
              <w:jc w:val="both"/>
              <w:rPr>
                <w:rFonts w:ascii="Calibri" w:cs="Calibri" w:eastAsia="Calibri" w:hAnsi="Calibri"/>
                <w:color w:val="000000"/>
              </w:rPr>
            </w:pPr>
            <w:r w:rsidDel="00000000" w:rsidR="00000000" w:rsidRPr="00000000">
              <w:rPr>
                <w:color w:val="000000"/>
                <w:rtl w:val="0"/>
              </w:rPr>
              <w:t xml:space="preserve">Metakognicija: vještina koja  promiče napredno  </w:t>
            </w:r>
            <w:r w:rsidDel="00000000" w:rsidR="00000000" w:rsidRPr="00000000">
              <w:rPr>
                <w:rtl w:val="0"/>
              </w:rPr>
              <w:t xml:space="preserve">učenje</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Tema se bavi sljedećim:</w:t>
            </w:r>
          </w:p>
        </w:tc>
        <w:tc>
          <w:tcPr/>
          <w:p w:rsidR="00000000" w:rsidDel="00000000" w:rsidP="00000000" w:rsidRDefault="00000000" w:rsidRPr="00000000" w14:paraId="00000080">
            <w:pPr>
              <w:spacing w:after="120" w:before="120" w:line="276" w:lineRule="auto"/>
              <w:jc w:val="both"/>
              <w:rPr>
                <w:rFonts w:ascii="Calibri" w:cs="Calibri" w:eastAsia="Calibri" w:hAnsi="Calibri"/>
                <w:color w:val="000000"/>
                <w:highlight w:val="yellow"/>
              </w:rPr>
            </w:pPr>
            <w:r w:rsidDel="00000000" w:rsidR="00000000" w:rsidRPr="00000000">
              <w:rPr>
                <w:color w:val="000000"/>
                <w:rtl w:val="0"/>
              </w:rPr>
              <w:t xml:space="preserve">Što je L2L kompetencija</w:t>
            </w:r>
            <w:r w:rsidDel="00000000" w:rsidR="00000000" w:rsidRPr="00000000">
              <w:rPr>
                <w:rtl w:val="0"/>
              </w:rPr>
              <w:t xml:space="preserve">/</w:t>
            </w:r>
            <w:r w:rsidDel="00000000" w:rsidR="00000000" w:rsidRPr="00000000">
              <w:rPr>
                <w:color w:val="000000"/>
                <w:rtl w:val="0"/>
              </w:rPr>
              <w:t xml:space="preserve">metakognicija? </w:t>
            </w:r>
            <w:r w:rsidDel="00000000" w:rsidR="00000000" w:rsidRPr="00000000">
              <w:rPr>
                <w:rtl w:val="0"/>
              </w:rPr>
              <w:t xml:space="preserve"> </w:t>
            </w:r>
            <w:r w:rsidDel="00000000" w:rsidR="00000000" w:rsidRPr="00000000">
              <w:rPr>
                <w:rtl w:val="0"/>
              </w:rPr>
            </w:r>
          </w:p>
        </w:tc>
      </w:tr>
      <w:tr>
        <w:trPr>
          <w:cantSplit w:val="0"/>
          <w:trHeight w:val="97" w:hRule="atLeast"/>
          <w:tblHeader w:val="0"/>
        </w:trPr>
        <w:tc>
          <w:tcPr>
            <w:shd w:fill="ed7d31" w:val="cle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Uvod u resurs:</w:t>
            </w:r>
          </w:p>
        </w:tc>
        <w:tc>
          <w:tcPr/>
          <w:p w:rsidR="00000000" w:rsidDel="00000000" w:rsidP="00000000" w:rsidRDefault="00000000" w:rsidRPr="00000000" w14:paraId="00000082">
            <w:pPr>
              <w:spacing w:after="120" w:before="120" w:line="276" w:lineRule="auto"/>
              <w:jc w:val="both"/>
              <w:rPr>
                <w:rFonts w:ascii="Calibri" w:cs="Calibri" w:eastAsia="Calibri" w:hAnsi="Calibri"/>
                <w:color w:val="000000"/>
              </w:rPr>
            </w:pPr>
            <w:r w:rsidDel="00000000" w:rsidR="00000000" w:rsidRPr="00000000">
              <w:rPr>
                <w:color w:val="000000"/>
                <w:rtl w:val="0"/>
              </w:rPr>
              <w:t xml:space="preserve">Ovaj dodatni materijal je video o metakogniciji. Učenje je aktivan proces, a usavršavanje vještine metakognicije može vam pomoći da stvorite najbolju moguću priliku da postanete uspješan učenik. Ovaj videozapis </w:t>
            </w:r>
            <w:r w:rsidDel="00000000" w:rsidR="00000000" w:rsidRPr="00000000">
              <w:rPr>
                <w:rtl w:val="0"/>
              </w:rPr>
              <w:t xml:space="preserve">objašnjava</w:t>
            </w:r>
            <w:r w:rsidDel="00000000" w:rsidR="00000000" w:rsidRPr="00000000">
              <w:rPr>
                <w:color w:val="000000"/>
                <w:rtl w:val="0"/>
              </w:rPr>
              <w:t xml:space="preserve"> što </w:t>
            </w:r>
            <w:r w:rsidDel="00000000" w:rsidR="00000000" w:rsidRPr="00000000">
              <w:rPr>
                <w:rtl w:val="0"/>
              </w:rPr>
              <w:t xml:space="preserve">je metakognicija</w:t>
            </w:r>
            <w:r w:rsidDel="00000000" w:rsidR="00000000" w:rsidRPr="00000000">
              <w:rPr>
                <w:color w:val="000000"/>
                <w:rtl w:val="0"/>
              </w:rPr>
              <w:t xml:space="preserve">. </w:t>
            </w:r>
            <w:r w:rsidDel="00000000" w:rsidR="00000000" w:rsidRPr="00000000">
              <w:rPr>
                <w:rtl w:val="0"/>
              </w:rPr>
              <w:t xml:space="preserve"> </w:t>
            </w:r>
            <w:r w:rsidDel="00000000" w:rsidR="00000000" w:rsidRPr="00000000">
              <w:rPr>
                <w:rtl w:val="0"/>
              </w:rPr>
            </w:r>
          </w:p>
        </w:tc>
      </w:tr>
      <w:tr>
        <w:trPr>
          <w:cantSplit w:val="0"/>
          <w:trHeight w:val="124" w:hRule="atLeast"/>
          <w:tblHeader w:val="0"/>
        </w:trPr>
        <w:tc>
          <w:tcPr>
            <w:shd w:fill="ed7d31"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Što dobivate korištenjem ovog resursa?</w:t>
            </w:r>
          </w:p>
          <w:p w:rsidR="00000000" w:rsidDel="00000000" w:rsidP="00000000" w:rsidRDefault="00000000" w:rsidRPr="00000000" w14:paraId="00000084">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Kako postati uspješan učenik </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Što je metakognicija </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Kako učinkovito učiti </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Što je kognitivna strategija </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 metakognicije </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Opcije učenja </w:t>
            </w:r>
          </w:p>
        </w:tc>
      </w:tr>
      <w:tr>
        <w:trPr>
          <w:cantSplit w:val="0"/>
          <w:trHeight w:val="55" w:hRule="atLeast"/>
          <w:tblHeader w:val="0"/>
        </w:trPr>
        <w:tc>
          <w:tcPr>
            <w:shd w:fill="ed7d3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Poveznica na alat:</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https://www.youtube.com/watch?v=elZFL4FLVLE&amp;t=65s</w:t>
              </w:r>
            </w:hyperlink>
            <w:r w:rsidDel="00000000" w:rsidR="00000000" w:rsidRPr="00000000">
              <w:rPr>
                <w:rtl w:val="0"/>
              </w:rPr>
            </w:r>
          </w:p>
          <w:p w:rsidR="00000000" w:rsidDel="00000000" w:rsidP="00000000" w:rsidRDefault="00000000" w:rsidRPr="00000000" w14:paraId="0000008D">
            <w:pPr>
              <w:spacing w:after="120" w:before="120" w:line="276" w:lineRule="auto"/>
              <w:jc w:val="both"/>
              <w:rPr>
                <w:rFonts w:ascii="Calibri" w:cs="Calibri" w:eastAsia="Calibri" w:hAnsi="Calibri"/>
                <w:color w:val="000000"/>
                <w:highlight w:val="yellow"/>
              </w:rPr>
            </w:pPr>
            <w:r w:rsidDel="00000000" w:rsidR="00000000" w:rsidRPr="00000000">
              <w:rPr>
                <w:rtl w:val="0"/>
              </w:rPr>
            </w:r>
          </w:p>
        </w:tc>
      </w:tr>
    </w:tbl>
    <w:p w:rsidR="00000000" w:rsidDel="00000000" w:rsidP="00000000" w:rsidRDefault="00000000" w:rsidRPr="00000000" w14:paraId="0000008E">
      <w:pPr>
        <w:spacing w:line="276" w:lineRule="auto"/>
        <w:jc w:val="both"/>
        <w:rPr/>
      </w:pPr>
      <w:r w:rsidDel="00000000" w:rsidR="00000000" w:rsidRPr="00000000">
        <w:rPr>
          <w:rtl w:val="0"/>
        </w:rPr>
      </w:r>
    </w:p>
    <w:p w:rsidR="00000000" w:rsidDel="00000000" w:rsidP="00000000" w:rsidRDefault="00000000" w:rsidRPr="00000000" w14:paraId="0000008F">
      <w:pPr>
        <w:spacing w:line="276" w:lineRule="auto"/>
        <w:jc w:val="both"/>
        <w:rPr/>
      </w:pPr>
      <w:r w:rsidDel="00000000" w:rsidR="00000000" w:rsidRPr="00000000">
        <w:rPr>
          <w:rtl w:val="0"/>
        </w:rPr>
      </w:r>
    </w:p>
    <w:tbl>
      <w:tblPr>
        <w:tblStyle w:val="Table3"/>
        <w:tblW w:w="907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Naslov resursa:</w:t>
            </w:r>
          </w:p>
        </w:tc>
        <w:tc>
          <w:tcPr/>
          <w:p w:rsidR="00000000" w:rsidDel="00000000" w:rsidP="00000000" w:rsidRDefault="00000000" w:rsidRPr="00000000" w14:paraId="00000091">
            <w:pPr>
              <w:spacing w:after="120" w:before="120" w:line="276" w:lineRule="auto"/>
              <w:jc w:val="both"/>
              <w:rPr>
                <w:rFonts w:ascii="Calibri" w:cs="Calibri" w:eastAsia="Calibri" w:hAnsi="Calibri"/>
                <w:color w:val="000000"/>
              </w:rPr>
            </w:pPr>
            <w:r w:rsidDel="00000000" w:rsidR="00000000" w:rsidRPr="00000000">
              <w:rPr>
                <w:color w:val="000000"/>
                <w:rtl w:val="0"/>
              </w:rPr>
              <w:t xml:space="preserve">Što je učenje učenja  kompetencije? </w:t>
            </w:r>
            <w:r w:rsidDel="00000000" w:rsidR="00000000" w:rsidRPr="00000000">
              <w:rPr>
                <w:rtl w:val="0"/>
              </w:rPr>
              <w:t xml:space="preserve">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Tema se bavi sljedećim:</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L2L Kompetencija i kako je razviti.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Uvod u resurs:</w:t>
            </w:r>
          </w:p>
        </w:tc>
        <w:tc>
          <w:tcPr/>
          <w:p w:rsidR="00000000" w:rsidDel="00000000" w:rsidP="00000000" w:rsidRDefault="00000000" w:rsidRPr="00000000" w14:paraId="00000095">
            <w:pPr>
              <w:spacing w:after="120" w:before="120" w:line="276" w:lineRule="auto"/>
              <w:jc w:val="both"/>
              <w:rPr>
                <w:rFonts w:ascii="Calibri" w:cs="Calibri" w:eastAsia="Calibri" w:hAnsi="Calibri"/>
                <w:color w:val="000000"/>
              </w:rPr>
            </w:pPr>
            <w:r w:rsidDel="00000000" w:rsidR="00000000" w:rsidRPr="00000000">
              <w:rPr>
                <w:color w:val="000000"/>
                <w:rtl w:val="0"/>
              </w:rPr>
              <w:t xml:space="preserve">Ovaj dodatni materijal je web stranica  koja uvodi L2L kompetenciju i opisuje kako je razviti. Pristup L2L pruža učenicima alate i metode za promišljanje i strateško razmišljanje koje će im pomoći da razviju i poboljšaju svoj način učenja. Ova web stranica dio je </w:t>
            </w:r>
            <w:r w:rsidDel="00000000" w:rsidR="00000000" w:rsidRPr="00000000">
              <w:rPr>
                <w:rtl w:val="0"/>
              </w:rPr>
              <w:t xml:space="preserve">europskog</w:t>
            </w:r>
            <w:r w:rsidDel="00000000" w:rsidR="00000000" w:rsidRPr="00000000">
              <w:rPr>
                <w:color w:val="000000"/>
                <w:rtl w:val="0"/>
              </w:rPr>
              <w:t xml:space="preserve"> projekta.  </w:t>
            </w:r>
            <w:r w:rsidDel="00000000" w:rsidR="00000000" w:rsidRPr="00000000">
              <w:rPr>
                <w:rtl w:val="0"/>
              </w:rPr>
              <w:t xml:space="preserve">Prikazani</w:t>
            </w:r>
            <w:r w:rsidDel="00000000" w:rsidR="00000000" w:rsidRPr="00000000">
              <w:rPr>
                <w:color w:val="000000"/>
                <w:rtl w:val="0"/>
              </w:rPr>
              <w:t xml:space="preserve"> su alati i metode učenja  neformalnog i informalnog obrazovanja. </w:t>
            </w:r>
            <w:r w:rsidDel="00000000" w:rsidR="00000000" w:rsidRPr="00000000">
              <w:rPr>
                <w:rtl w:val="0"/>
              </w:rPr>
              <w:t xml:space="preserve">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Što dobivate korištenjem ovog resursa?</w:t>
            </w:r>
          </w:p>
          <w:p w:rsidR="00000000" w:rsidDel="00000000" w:rsidP="00000000" w:rsidRDefault="00000000" w:rsidRPr="00000000" w14:paraId="00000097">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Što je kompetencija L2L </w:t>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color w:val="000000"/>
                <w:shd w:fill="auto" w:val="clear"/>
                <w:rtl w:val="0"/>
              </w:rPr>
              <w:t xml:space="preserve">Vaše </w:t>
            </w:r>
            <w:r w:rsidDel="00000000" w:rsidR="00000000" w:rsidRPr="00000000">
              <w:rPr>
                <w:rtl w:val="0"/>
              </w:rPr>
              <w:t xml:space="preserve">snage</w:t>
            </w:r>
            <w:r w:rsidDel="00000000" w:rsidR="00000000" w:rsidRPr="00000000">
              <w:rPr>
                <w:color w:val="000000"/>
                <w:shd w:fill="auto" w:val="clear"/>
                <w:rtl w:val="0"/>
              </w:rPr>
              <w:t xml:space="preserve"> i slabosti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metakognicija </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Različite metode i strategije učenja </w:t>
            </w:r>
          </w:p>
          <w:p w:rsidR="00000000" w:rsidDel="00000000" w:rsidP="00000000" w:rsidRDefault="00000000" w:rsidRPr="00000000" w14:paraId="0000009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color w:val="000000"/>
                <w:shd w:fill="auto" w:val="clear"/>
                <w:rtl w:val="0"/>
              </w:rPr>
              <w:t xml:space="preserve">Različita pitanja koja možete sami postaviti kako biste razvili </w:t>
            </w:r>
            <w:r w:rsidDel="00000000" w:rsidR="00000000" w:rsidRPr="00000000">
              <w:rPr>
                <w:rtl w:val="0"/>
              </w:rPr>
              <w:t xml:space="preserve">metakognitivne</w:t>
            </w:r>
            <w:r w:rsidDel="00000000" w:rsidR="00000000" w:rsidRPr="00000000">
              <w:rPr>
                <w:color w:val="000000"/>
                <w:shd w:fill="auto" w:val="clear"/>
                <w:rtl w:val="0"/>
              </w:rPr>
              <w:t xml:space="preserve"> vještine </w:t>
            </w:r>
            <w:r w:rsidDel="00000000" w:rsidR="00000000" w:rsidRPr="00000000">
              <w:rPr>
                <w:rtl w:val="0"/>
              </w:rPr>
              <w:t xml:space="preserve">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Poveznica na alat:</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https://mylearningtolearn.com/home/</w:t>
              </w:r>
            </w:hyperlink>
            <w:r w:rsidDel="00000000" w:rsidR="00000000" w:rsidRPr="00000000">
              <w:rPr>
                <w:rtl w:val="0"/>
              </w:rPr>
            </w:r>
          </w:p>
          <w:p w:rsidR="00000000" w:rsidDel="00000000" w:rsidP="00000000" w:rsidRDefault="00000000" w:rsidRPr="00000000" w14:paraId="0000009F">
            <w:pPr>
              <w:spacing w:after="120" w:before="120" w:line="276" w:lineRule="auto"/>
              <w:jc w:val="both"/>
              <w:rPr>
                <w:rFonts w:ascii="Calibri" w:cs="Calibri" w:eastAsia="Calibri" w:hAnsi="Calibri"/>
                <w:color w:val="000000"/>
                <w:highlight w:val="yellow"/>
              </w:rPr>
            </w:pP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  Description automatically generated" id="7" name="image6.png"/>
            <a:graphic>
              <a:graphicData uri="http://schemas.openxmlformats.org/drawingml/2006/picture">
                <pic:pic>
                  <pic:nvPicPr>
                    <pic:cNvPr descr="Timeline  Description automatically generated" id="0" name="image6.png"/>
                    <pic:cNvPicPr preferRelativeResize="0"/>
                  </pic:nvPicPr>
                  <pic:blipFill>
                    <a:blip r:embed="rId21"/>
                    <a:srcRect b="0" l="0" r="0" t="0"/>
                    <a:stretch>
                      <a:fillRect/>
                    </a:stretch>
                  </pic:blipFill>
                  <pic:spPr>
                    <a:xfrm>
                      <a:off x="0" y="0"/>
                      <a:ext cx="7625715" cy="10765155"/>
                    </a:xfrm>
                    <a:prstGeom prst="rect"/>
                    <a:ln/>
                  </pic:spPr>
                </pic:pic>
              </a:graphicData>
            </a:graphic>
          </wp:anchor>
        </w:drawing>
      </w:r>
      <w:r w:rsidDel="00000000" w:rsidR="00000000" w:rsidRPr="00000000">
        <w:rPr>
          <w:rtl w:val="0"/>
        </w:rPr>
      </w:r>
    </w:p>
    <w:sectPr>
      <w:headerReference r:id="rId22" w:type="first"/>
      <w:footerReference r:id="rId23"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Noto Sans Symbols">
    <w:embedRegular w:fontKey="{00000000-0000-0000-0000-000000000000}" r:id="rId2" w:subsetted="0"/>
    <w:embedBold w:fontKey="{00000000-0000-0000-0000-000000000000}" r:id="rId3"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shd w:fill="auto" w:val="clea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1" name=""/>
              <a:graphic>
                <a:graphicData uri="http://schemas.microsoft.com/office/word/2010/wordprocessingShape">
                  <wps:wsp>
                    <wps:cNvSpPr/>
                    <wps:cNvPr id="2" name="Shape 2"/>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left</wp:align>
          </wp:positionH>
          <wp:positionV relativeFrom="page">
            <wp:posOffset>264795</wp:posOffset>
          </wp:positionV>
          <wp:extent cx="1853565" cy="387985"/>
          <wp:effectExtent b="0" l="0" r="0" t="0"/>
          <wp:wrapSquare wrapText="bothSides" distB="0" distT="0" distL="114300" distR="114300"/>
          <wp:docPr id="5" name="image8.jpg"/>
          <a:graphic>
            <a:graphicData uri="http://schemas.openxmlformats.org/drawingml/2006/picture">
              <pic:pic>
                <pic:nvPicPr>
                  <pic:cNvPr id="0" name="image8.jpg"/>
                  <pic:cNvPicPr preferRelativeResize="0"/>
                </pic:nvPicPr>
                <pic:blipFill>
                  <a:blip r:embed="rId1"/>
                  <a:srcRect b="0" l="0" r="0" t="0"/>
                  <a:stretch>
                    <a:fillRect/>
                  </a:stretch>
                </pic:blipFill>
                <pic:spPr>
                  <a:xfrm>
                    <a:off x="0" y="0"/>
                    <a:ext cx="1853565" cy="38798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74632" cy="618328"/>
          <wp:effectExtent b="0" l="0" r="0" t="0"/>
          <wp:docPr descr="A picture containing icon  Description automatically generated" id="6" name="image7.png"/>
          <a:graphic>
            <a:graphicData uri="http://schemas.openxmlformats.org/drawingml/2006/picture">
              <pic:pic>
                <pic:nvPicPr>
                  <pic:cNvPr descr="A picture containing icon  Description automatically generated" id="0" name="image7.png"/>
                  <pic:cNvPicPr preferRelativeResize="0"/>
                </pic:nvPicPr>
                <pic:blipFill>
                  <a:blip r:embed="rId2"/>
                  <a:srcRect b="0" l="0" r="0" t="0"/>
                  <a:stretch>
                    <a:fillRect/>
                  </a:stretch>
                </pic:blipFill>
                <pic:spPr>
                  <a:xfrm>
                    <a:off x="0" y="0"/>
                    <a:ext cx="874632" cy="6183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ylearningtolearn.com/home/" TargetMode="External"/><Relationship Id="rId11" Type="http://schemas.openxmlformats.org/officeDocument/2006/relationships/image" Target="media/image5.png"/><Relationship Id="rId22" Type="http://schemas.openxmlformats.org/officeDocument/2006/relationships/header" Target="header3.xml"/><Relationship Id="rId10" Type="http://schemas.openxmlformats.org/officeDocument/2006/relationships/footer" Target="footer1.xml"/><Relationship Id="rId21" Type="http://schemas.openxmlformats.org/officeDocument/2006/relationships/image" Target="media/image6.png"/><Relationship Id="rId13" Type="http://schemas.openxmlformats.org/officeDocument/2006/relationships/image" Target="media/image3.jpg"/><Relationship Id="rId12" Type="http://schemas.openxmlformats.org/officeDocument/2006/relationships/image" Target="media/image10.png"/><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1.jpg"/><Relationship Id="rId14" Type="http://schemas.openxmlformats.org/officeDocument/2006/relationships/image" Target="media/image4.jpg"/><Relationship Id="rId17" Type="http://schemas.openxmlformats.org/officeDocument/2006/relationships/hyperlink" Target="https://www.youtube.com/watch?v=PWibf3j7zuw" TargetMode="External"/><Relationship Id="rId16" Type="http://schemas.openxmlformats.org/officeDocument/2006/relationships/hyperlink" Target="https://www.guggenheim.org/for-educators/learning-through-art" TargetMode="External"/><Relationship Id="rId5" Type="http://schemas.openxmlformats.org/officeDocument/2006/relationships/styles" Target="styles.xml"/><Relationship Id="rId19" Type="http://schemas.openxmlformats.org/officeDocument/2006/relationships/hyperlink" Target="https://www.youtube.com/watch?v=elZFL4FLVLE&amp;t=65s" TargetMode="External"/><Relationship Id="rId6" Type="http://schemas.openxmlformats.org/officeDocument/2006/relationships/customXml" Target="../customXML/item1.xml"/><Relationship Id="rId18" Type="http://schemas.openxmlformats.org/officeDocument/2006/relationships/image" Target="media/image2.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DldRbEzWSSzlVWqLf7gKOn8Iw==">CgMxLjAyCGguZ2pkZ3hzMgloLjMwajB6bGwyCWguMWZvYjl0ZTIJaC4zem55c2g3MgloLjJldDkycDAyCGgudHlqY3d0MgloLjNkeTZ2a20yCWguMXQzaDVzZjgAciExV1NTdm1YV0J0TUFrZ3dwMVRoOVg1MkMtR0NpdUx3UVM=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