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14:paraId="00000001">
      <w:pPr>
        <w:tabs>
          <w:tab w:val="left" w:leader="none" w:pos="900"/>
        </w:tabs>
      </w:pPr>
      <w: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-932813</wp:posOffset>
            </wp:positionH>
            <wp:positionV relativeFrom="margin">
              <wp:posOffset>-953769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  Description automatically generated" id="6" name="image1.png"/>
            <a:graphic>
              <a:graphicData uri="http://schemas.openxmlformats.org/drawingml/2006/picture">
                <pic:pic>
                  <pic:nvPicPr>
                    <pic:cNvPr descr="Shape  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1607820</wp:posOffset>
                </wp:positionV>
                <wp:extent cx="4035425" cy="1414145"/>
                <wp:effectExtent b="0" l="0" r="0" t="0"/>
                <wp:wrapSquare wrapText="bothSides" distB="45720" distT="4572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3050" y="3077690"/>
                          <a:ext cx="40259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  <w:pStyle w:val="P68B1DB1-Normal1"/>
                            </w:pPr>
                            <w:r>
                              <w:t xml:space="preserve">Osobna, društvena i kompetencija učenja kako učiti + umjetnost</w:t>
                            </w:r>
                          </w:p>
                          <w:p>
                            <w:pPr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btLr"/>
                              <w:pStyle w:val="P68B1DB1-Normal2"/>
                            </w:pPr>
                            <w:r>
                              <w:t xml:space="preserve">Priručnik za nastavnike u obrazovanju odraslih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 w14:paraId="00000002">
      <w:pPr>
        <w:pStyle w:val="P68B1DB1-Heading23"/>
        <w:tabs>
          <w:tab w:val="left" w:leader="none" w:pos="5341"/>
        </w:tabs>
        <w:jc w:val="center"/>
        <w:rPr>
          <w:rFonts w:ascii="Bebas Neue" w:hAnsi="Bebas Neue" w:cs="Bebas Neue" w:eastAsia="Bebas Neue"/>
          <w:color w:val="f5b335"/>
          <w:sz w:val="48"/>
        </w:rPr>
      </w:pPr>
      <w:r>
        <w:t xml:space="preserve">Izvori mikroučenja za ponovno uključivanje niskokvalificiranih odraslih polaznika u obrazovanje i osposobljavanje </w:t>
      </w:r>
    </w:p>
    <w:p w14:paraId="00000003">
      <w:pPr>
        <w:pStyle w:val="P68B1DB1-Heading24"/>
        <w:tabs>
          <w:tab w:val="left" w:leader="none" w:pos="5341"/>
        </w:tabs>
        <w:rPr>
          <w:rFonts w:ascii="Quattrocento Sans" w:hAnsi="Quattrocento Sans" w:cs="Quattrocento Sans" w:eastAsia="Quattrocento Sans"/>
          <w:b w:val="1"/>
          <w:color w:val="1f2126"/>
          <w:sz w:val="36"/>
        </w:rPr>
      </w:pPr>
      <w:r>
        <w:t xml:space="preserve">Priručnik za nastavnike u obrazovanju odraslih </w:t>
      </w:r>
    </w:p>
    <w:p w14:paraId="00000004">
      <w:pPr>
        <w:rPr>
          <w:rFonts w:ascii="Quattrocento Sans" w:hAnsi="Quattrocento Sans" w:cs="Quattrocento Sans" w:eastAsia="Quattrocento Sans"/>
          <w:sz w:val="24"/>
        </w:rPr>
      </w:pPr>
    </w:p>
    <w:p w14:paraId="00000005">
      <w:pPr>
        <w:spacing w:line="360" w:lineRule="auto"/>
        <w:jc w:val="both"/>
        <w:rPr>
          <w:rFonts w:ascii="Quattrocento Sans" w:hAnsi="Quattrocento Sans" w:cs="Quattrocento Sans" w:eastAsia="Quattrocento Sans"/>
          <w:color w:val="000000"/>
          <w:sz w:val="24"/>
        </w:rPr>
        <w:pStyle w:val="P68B1DB1-Normal5"/>
      </w:pPr>
      <w:r>
        <w:rPr>
          <w:color w:val="000000"/>
        </w:rPr>
        <w:t xml:space="preserve">Cilj ovog kratkog priručnika je podržati vas, kao iskusnog edukatora koji radi s niskokvalificiranim i marginaliziranim odraslim polaznicima, s različitim potrebama, da koristite video resurse i listove aktivnosti </w:t>
      </w:r>
      <w:r>
        <w:rPr>
          <w:color w:val="000000"/>
        </w:rPr>
        <w:t xml:space="preserve">koji se nalaze u paketu resursa</w:t>
      </w:r>
      <w:r>
        <w:rPr>
          <w:color w:val="000000"/>
        </w:rPr>
        <w:t xml:space="preserve"> za mikroučenje</w:t>
      </w:r>
      <w:r>
        <w:rPr>
          <w:color w:val="000000"/>
        </w:rPr>
        <w:t xml:space="preserve"> </w:t>
      </w:r>
      <w:r>
        <w:rPr>
          <w:color w:val="000000"/>
        </w:rPr>
        <w:t xml:space="preserve">kako bisteponovno</w:t>
      </w:r>
      <w:r>
        <w:rPr>
          <w:color w:val="000000"/>
        </w:rPr>
        <w:t xml:space="preserve"> angažirali</w:t>
      </w:r>
      <w:r>
        <w:rPr>
          <w:color w:val="000000"/>
        </w:rPr>
        <w:t xml:space="preserve"> </w:t>
      </w:r>
      <w:r>
        <w:rPr>
          <w:color w:val="000000"/>
        </w:rPr>
        <w:t xml:space="preserve">niskokvalificirane odrasle</w:t>
      </w:r>
      <w:r>
        <w:rPr>
          <w:color w:val="000000"/>
        </w:rPr>
        <w:t xml:space="preserve"> </w:t>
      </w:r>
      <w:r>
        <w:rPr>
          <w:color w:val="000000"/>
        </w:rPr>
        <w:t xml:space="preserve">polaznike u vašem centru i u vašoj zajednici. Kroz ovaj kratki priručnik pružit ćemo vam neke osnovne informacije o temi o kojoj se raspravlja u video resursu i pružiti neke smjernice koje će vam pomoći da uvedete i provedete prateću aktivnost s odraslim polaznicima u vašoj grupi. Aktivnost koja je razvijena kako bi pratila video resurse ima za cilj daljnji razvoj njihovog razumijevanja teme navedene u video resursu. Naposljetku, ovaj će vam priručnik predstaviti i neka kratka pitanja koja možete upotrijebiti u svojoj skupini odraslih polaznika kako biste procijenili jednostavnost korištenja i kvalitetu aktivnosti koju ste završili s njima. </w:t>
      </w:r>
      <w:r>
        <w:t xml:space="preserve"> </w:t>
      </w:r>
    </w:p>
    <w:p w14:paraId="00000006">
      <w:pPr>
        <w:rPr>
          <w:rFonts w:ascii="Quattrocento Sans" w:hAnsi="Quattrocento Sans" w:cs="Quattrocento Sans" w:eastAsia="Quattrocento Sans"/>
          <w:color w:val="000000"/>
          <w:sz w:val="24"/>
        </w:rPr>
      </w:pPr>
    </w:p>
    <w:p w14:paraId="00000007">
      <w:pPr>
        <w:spacing w:line="360" w:lineRule="auto"/>
        <w:jc w:val="both"/>
        <w:rPr>
          <w:rFonts w:ascii="Quattrocento Sans" w:hAnsi="Quattrocento Sans" w:cs="Quattrocento Sans" w:eastAsia="Quattrocento Sans"/>
          <w:i w:val="1"/>
          <w:color w:val="000000"/>
          <w:sz w:val="24"/>
        </w:rPr>
        <w:pStyle w:val="P68B1DB1-Normal6"/>
      </w:pPr>
      <w:r>
        <w:t xml:space="preserve">Tema ovog priručnika odnosi se na video resurse za osobne, društvene i kompetencije učenja kako učiti.</w:t>
      </w:r>
      <w:r>
        <w:rPr>
          <w:i w:val="1"/>
        </w:rPr>
        <w:t xml:space="preserve"> </w:t>
      </w:r>
    </w:p>
    <w:p w14:paraId="00000008">
      <w:pPr>
        <w:rPr>
          <w:rFonts w:ascii="Quattrocento Sans" w:hAnsi="Quattrocento Sans" w:cs="Quattrocento Sans" w:eastAsia="Quattrocento Sans"/>
          <w:i w:val="1"/>
          <w:color w:val="000000"/>
          <w:sz w:val="24"/>
        </w:rPr>
      </w:pPr>
    </w:p>
    <w:p w14:paraId="00000009">
      <w:pPr>
        <w:pStyle w:val="P68B1DB1-Heading27"/>
        <w:rPr>
          <w:rFonts w:ascii="Quattrocento Sans" w:hAnsi="Quattrocento Sans" w:cs="Quattrocento Sans" w:eastAsia="Quattrocento Sans"/>
          <w:sz w:val="24"/>
        </w:rPr>
      </w:pPr>
      <w:r>
        <w:t xml:space="preserve">Uvod u temu </w:t>
      </w:r>
    </w:p>
    <w:p w14:paraId="0000000A">
      <w:bookmarkStart w:colFirst="0" w:colLast="0" w:name="_heading=h.gjdgxs" w:id="0"/>
      <w:bookmarkEnd w:id="0"/>
    </w:p>
    <w:p w14:paraId="0000000B">
      <w:pPr>
        <w:spacing w:line="360" w:lineRule="auto"/>
        <w:jc w:val="both"/>
        <w:rPr>
          <w:rFonts w:ascii="Quattrocento Sans" w:hAnsi="Quattrocento Sans" w:cs="Quattrocento Sans" w:eastAsia="Quattrocento Sans"/>
          <w:sz w:val="24"/>
        </w:rPr>
        <w:pStyle w:val="P68B1DB1-Normal5"/>
      </w:pPr>
      <w:r>
        <w:t xml:space="preserve">Umjetničke discipline odličan su način za učenje i razvoj osobne, društvene i kompetencije učenja kako učiti koja se naziva i metakognicija. Doista, umjetnost je nevjerojatan alat za demonstriranje kognitivnih strategija koje pomažu polaznicima da istraže nove sadržaje i pokažu razumiju li zapravo ono što pokušavaju naučiti. Vještine razmišljanja bitne su za sve polaznike, a umjetničko stvaranje i susret s umjetnošću pružaju mogućnosti za složeno razmišljanje. Kroz resurse ONE STEP UP, niskokvalificirane odrasle osobe mogu istražiti kako ti materijali za učenje mogu pozitivno utjecati na njihovu sposobnost učenja kroz umjetnost. </w:t>
      </w:r>
    </w:p>
    <w:p w14:paraId="0000000C">
      <w:pPr>
        <w:rPr>
          <w:rFonts w:ascii="Quattrocento Sans" w:hAnsi="Quattrocento Sans" w:cs="Quattrocento Sans" w:eastAsia="Quattrocento Sans"/>
          <w:sz w:val="24"/>
        </w:rPr>
      </w:pPr>
    </w:p>
    <w:p w14:paraId="0000000D">
      <w:pPr>
        <w:pStyle w:val="P68B1DB1-Heading27"/>
        <w:rPr>
          <w:rFonts w:ascii="Quattrocento Sans" w:hAnsi="Quattrocento Sans" w:cs="Quattrocento Sans" w:eastAsia="Quattrocento Sans"/>
          <w:sz w:val="24"/>
        </w:rPr>
      </w:pPr>
      <w:r>
        <w:t xml:space="preserve">Uvod u aktivnost </w:t>
      </w:r>
    </w:p>
    <w:p w14:paraId="0000000E"/>
    <w:p w14:paraId="0000000F">
      <w:pPr>
        <w:spacing w:line="360" w:lineRule="auto"/>
        <w:jc w:val="both"/>
        <w:rPr>
          <w:rFonts w:ascii="Quattrocento Sans" w:hAnsi="Quattrocento Sans" w:cs="Quattrocento Sans" w:eastAsia="Quattrocento Sans"/>
          <w:sz w:val="24"/>
        </w:rPr>
        <w:pStyle w:val="P68B1DB1-Normal5"/>
      </w:pPr>
      <w:r>
        <w:t xml:space="preserve">U materijalima za polaznike, niskokvalificirane odrasle osobe imaju priliku istražiti inicijativu </w:t>
      </w:r>
      <w:r>
        <w:rPr>
          <w:color w:val="000000"/>
        </w:rPr>
        <w:t xml:space="preserve">Muzeja Guggenheim i grada New Yorka pod nazivom "Učenje kroz umjetnost". Ovaj program daje alate polaznicima za razvoj vještina rješavanja problema i kritičkog mišljenja. Umjetnost može omogućiti polaznicima da sami otkriju stvari i sami nauče koje je najbolje </w:t>
      </w:r>
      <w:r>
        <w:t>rješenje</w:t>
      </w:r>
      <w:r>
        <w:rPr>
          <w:color w:val="000000"/>
        </w:rPr>
        <w:t>.</w:t>
      </w:r>
    </w:p>
    <w:p w14:paraId="00000010">
      <w:pPr>
        <w:spacing w:line="360" w:lineRule="auto"/>
        <w:jc w:val="both"/>
        <w:rPr>
          <w:rFonts w:ascii="Quattrocento Sans" w:hAnsi="Quattrocento Sans" w:cs="Quattrocento Sans" w:eastAsia="Quattrocento Sans"/>
          <w:sz w:val="24"/>
        </w:rPr>
        <w:pStyle w:val="P68B1DB1-Normal5"/>
      </w:pPr>
      <w:r>
        <w:t xml:space="preserve">Štoviše, polaznici imaju mogućnost uključiti se u zanimljivu aktivnost "Crtanje i promišljanje". Ova aktivnost omogućuje polaznicima da razviju svoje upravljanje vremenom, svoje samopoštovanje i svoju metodu rada. Doista, kroz produkciju umjetničkog djela, polaznici imaju priliku napraviti procjenu postavljanjem pitanja o svom načinu rada i poznavanjem svojih pozitivnih i negativnih točaka u korištenoj strategiji.</w:t>
      </w:r>
    </w:p>
    <w:p w14:paraId="00000011">
      <w:pPr>
        <w:spacing w:line="360" w:lineRule="auto"/>
        <w:jc w:val="both"/>
        <w:rPr>
          <w:rFonts w:ascii="Quattrocento Sans" w:hAnsi="Quattrocento Sans" w:cs="Quattrocento Sans" w:eastAsia="Quattrocento Sans"/>
          <w:sz w:val="24"/>
        </w:rPr>
      </w:pPr>
    </w:p>
    <w:p w14:paraId="00000012">
      <w:pPr>
        <w:pStyle w:val="P68B1DB1-Heading27"/>
        <w:rPr>
          <w:rFonts w:ascii="Quattrocento Sans" w:hAnsi="Quattrocento Sans" w:cs="Quattrocento Sans" w:eastAsia="Quattrocento Sans"/>
          <w:sz w:val="24"/>
        </w:rPr>
      </w:pPr>
      <w:r>
        <w:t xml:space="preserve">Korištenje ovog resursa s grupom </w:t>
      </w:r>
    </w:p>
    <w:p w14:paraId="00000013"/>
    <w:p w14:paraId="00000014">
      <w:pPr>
        <w:shd w:fill="ffffff" w:val="clear"/>
        <w:spacing w:after="225" w:line="360" w:lineRule="auto"/>
        <w:jc w:val="both"/>
        <w:rPr>
          <w:rFonts w:ascii="Quattrocento Sans" w:hAnsi="Quattrocento Sans" w:cs="Quattrocento Sans" w:eastAsia="Quattrocento Sans"/>
          <w:color w:val="000000"/>
          <w:sz w:val="24"/>
        </w:rPr>
        <w:pStyle w:val="P68B1DB1-Normal6"/>
      </w:pPr>
      <w:r>
        <w:t xml:space="preserve">Da biste koristili ovaj resurs s odraslim polaznicima u vašoj lokalnoj grupi, preporučujemo da im počnete pokazivati video resurs kako biste uveli temu osobne, društvene i kompetencije učenja kako učiti + umjetnost.</w:t>
      </w:r>
      <w:r>
        <w:rPr>
          <w:i w:val="1"/>
        </w:rPr>
        <w:t xml:space="preserve"> </w:t>
      </w:r>
      <w:r>
        <w:t xml:space="preserve">Ovaj će videozapis pomoći polaznicima da razumiju temu prije nego što započnu aktivnost pisanih materijala za polaznike. Nakon što steknu opće znanje o temi, moći će započeti s pisanim materijalima. Za to preporučujemo da ispišete jedan pisani materijal po polazniku kako biste dovršili. Sve što je polaznicima potrebno za ovaj resurs je olovka za ispunjavanje materijala i računalo za gledanje videozapisa. |||UNTRANSLATED_CONTENT_START|||This resource will take one hour in total to complete.|||UNTRANSLATED_CONTENT_END|||</w:t>
      </w:r>
    </w:p>
    <w:p w14:paraId="00000015">
      <w:pPr>
        <w:pStyle w:val="P68B1DB1-Heading27"/>
        <w:rPr>
          <w:rFonts w:ascii="Quattrocento Sans" w:hAnsi="Quattrocento Sans" w:cs="Quattrocento Sans" w:eastAsia="Quattrocento Sans"/>
          <w:sz w:val="24"/>
        </w:rPr>
      </w:pPr>
      <w:r>
        <w:t xml:space="preserve">Pitanja za promišljanje:</w:t>
      </w:r>
    </w:p>
    <w:p w14:paraId="00000016"/>
    <w:p w14:paraId="00000017">
      <w:pPr>
        <w:spacing w:line="360" w:lineRule="auto"/>
        <w:jc w:val="both"/>
        <w:rPr>
          <w:rFonts w:ascii="Quattrocento Sans" w:hAnsi="Quattrocento Sans" w:cs="Quattrocento Sans" w:eastAsia="Quattrocento Sans"/>
          <w:sz w:val="24"/>
        </w:rPr>
        <w:pStyle w:val="P68B1DB1-Normal5"/>
      </w:pPr>
      <w:r>
        <w:t xml:space="preserve">Evo nekoliko potencijalnih pitanja za raspravu o kojima sudionici mogu razmisliti nakon završetka studije slučaja i aktivnosti: </w:t>
      </w:r>
    </w:p>
    <w:p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Quattrocento Sans" w:hAnsi="Quattrocento Sans" w:cs="Quattrocento Sans" w:eastAsia="Quattrocento Sans"/>
          <w:b w:val="0"/>
          <w:i w:val="0"/>
          <w:smallCaps w:val="0"/>
          <w:strike w:val="0"/>
          <w:color w:val="000000"/>
          <w:sz w:val="24"/>
          <w:u w:val="none"/>
          <w:shd w:fill="auto" w:val="clear"/>
          <w:vertAlign w:val="baseline"/>
        </w:rPr>
        <w:pStyle w:val="P68B1DB1-Normal8"/>
      </w:pPr>
      <w:r>
        <w:t xml:space="preserve">Što vas najviše iznenađuje u inicijativi „Učenje kroz umjetnost“? </w:t>
      </w:r>
    </w:p>
    <w:p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Quattrocento Sans" w:hAnsi="Quattrocento Sans" w:cs="Quattrocento Sans" w:eastAsia="Quattrocento Sans"/>
          <w:b w:val="0"/>
          <w:i w:val="0"/>
          <w:smallCaps w:val="0"/>
          <w:strike w:val="0"/>
          <w:color w:val="000000"/>
          <w:sz w:val="24"/>
          <w:u w:val="none"/>
          <w:shd w:fill="auto" w:val="clear"/>
          <w:vertAlign w:val="baseline"/>
        </w:rPr>
        <w:pStyle w:val="P68B1DB1-Normal8"/>
      </w:pPr>
      <w:r>
        <w:t xml:space="preserve">Da ste imali mogućnost, biste li željeli sudjelovati u ovakvom događaju?</w:t>
      </w:r>
    </w:p>
    <w:p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Quattrocento Sans" w:hAnsi="Quattrocento Sans" w:cs="Quattrocento Sans" w:eastAsia="Quattrocento Sans"/>
          <w:b w:val="0"/>
          <w:i w:val="0"/>
          <w:smallCaps w:val="0"/>
          <w:strike w:val="0"/>
          <w:color w:val="000000"/>
          <w:sz w:val="24"/>
          <w:u w:val="none"/>
          <w:shd w:fill="auto" w:val="clear"/>
          <w:vertAlign w:val="baseline"/>
        </w:rPr>
        <w:pStyle w:val="P68B1DB1-Normal5"/>
      </w:pPr>
      <w:r>
        <w:rPr>
          <w:color w:val="000000"/>
          <w:shd w:fill="auto" w:val="clear"/>
        </w:rPr>
        <w:t xml:space="preserve">Na koji je način ovaj projekt </w:t>
      </w:r>
      <w:r>
        <w:t>prevazišao</w:t>
      </w:r>
      <w:r>
        <w:rPr>
          <w:color w:val="000000"/>
          <w:shd w:fill="auto" w:val="clear"/>
        </w:rPr>
        <w:t xml:space="preserve"> samo učenje kompetencije učenja kako učiti? </w:t>
      </w:r>
      <w:r>
        <w:t xml:space="preserve"> </w:t>
      </w:r>
    </w:p>
    <w:p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Quattrocento Sans" w:hAnsi="Quattrocento Sans" w:cs="Quattrocento Sans" w:eastAsia="Quattrocento Sans"/>
          <w:b w:val="0"/>
          <w:i w:val="0"/>
          <w:smallCaps w:val="0"/>
          <w:strike w:val="0"/>
          <w:color w:val="000000"/>
          <w:sz w:val="24"/>
          <w:u w:val="none"/>
          <w:shd w:fill="auto" w:val="clear"/>
          <w:vertAlign w:val="baseline"/>
        </w:rPr>
        <w:pStyle w:val="P68B1DB1-Normal8"/>
      </w:pPr>
      <w:r>
        <w:t xml:space="preserve">Kakav je bio vaš doživljaj tijekom aktivnosti „Crtanje i promišljanje”? </w:t>
      </w:r>
    </w:p>
    <w:p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Quattrocento Sans" w:hAnsi="Quattrocento Sans" w:cs="Quattrocento Sans" w:eastAsia="Quattrocento Sans"/>
          <w:b w:val="0"/>
          <w:i w:val="0"/>
          <w:smallCaps w:val="0"/>
          <w:strike w:val="0"/>
          <w:color w:val="000000"/>
          <w:sz w:val="24"/>
          <w:u w:val="none"/>
          <w:shd w:fill="auto" w:val="clear"/>
          <w:vertAlign w:val="baseline"/>
        </w:rPr>
        <w:pStyle w:val="P68B1DB1-Normal5"/>
      </w:pPr>
      <w:r>
        <w:rPr>
          <w:color w:val="000000"/>
          <w:shd w:fill="auto" w:val="clear"/>
        </w:rPr>
        <w:t xml:space="preserve">Kako se umjetničke discipline mogu </w:t>
      </w:r>
      <w:r>
        <w:rPr>
          <w:color w:val="000000"/>
          <w:shd w:fill="auto" w:val="clear"/>
        </w:rPr>
        <w:t xml:space="preserve">uključiti u programe obrazovanja ili osposobljavanja za niskokvalificirane odrasle osobe kako bi se poboljšala njihova osobna, društvena i kompetencija učenja kako učiti? </w:t>
      </w:r>
      <w:r>
        <w:t xml:space="preserve"> </w:t>
      </w:r>
    </w:p>
    <w:p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Quattrocento Sans" w:hAnsi="Quattrocento Sans" w:cs="Quattrocento Sans" w:eastAsia="Quattrocento Sans"/>
          <w:b w:val="0"/>
          <w:i w:val="0"/>
          <w:smallCaps w:val="0"/>
          <w:strike w:val="0"/>
          <w:color w:val="000000"/>
          <w:sz w:val="24"/>
          <w:u w:val="none"/>
          <w:shd w:fill="auto" w:val="clear"/>
          <w:vertAlign w:val="baseline"/>
        </w:rPr>
      </w:pPr>
    </w:p>
    <w:p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Quattrocento Sans" w:hAnsi="Quattrocento Sans" w:cs="Quattrocento Sans" w:eastAsia="Quattrocento Sans"/>
          <w:b w:val="0"/>
          <w:i w:val="0"/>
          <w:smallCaps w:val="0"/>
          <w:strike w:val="0"/>
          <w:color w:val="000000"/>
          <w:sz w:val="24"/>
          <w:u w:val="none"/>
          <w:shd w:fill="auto" w:val="clear"/>
          <w:vertAlign w:val="baseline"/>
        </w:rPr>
      </w:pPr>
    </w:p>
    <w:p w14:paraId="0000001F"/>
    <w:p w14:paraId="00000020">
      <w:pPr>
        <w:jc w:val="center"/>
        <w:pStyle w:val="P68B1DB1-Normal9"/>
      </w:pPr>
      <w: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b="0" l="0" r="0" t="0"/>
            <wp:wrapSquare wrapText="bothSides" distB="0" distT="0" distL="114300" distR="114300"/>
            <wp:docPr descr="Timeline  Description automatically generated" id="7" name="image2.png"/>
            <a:graphic>
              <a:graphicData uri="http://schemas.openxmlformats.org/drawingml/2006/picture">
                <pic:pic>
                  <pic:nvPicPr>
                    <pic:cNvPr descr="Timeline  Description automatically generated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  <w:t xml:space="preserve"> </w:t>
      </w:r>
    </w:p>
    <w:sectPr>
      <w:headerReference r:id="rId10" w:type="first"/>
      <w:footerReference r:id="rId11" w:type="first"/>
      <w:pgSz w:h="16838" w:w="11906" w:orient="portrait"/>
      <w:pgMar w:bottom="1440" w:top="1440" w:left="1440" w:righ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ebas Neue">
    <w:embedRegular w:fontKey="{00000000-0000-0000-0000-000000000000}" r:id="rId1" w:subsetted="0"/>
  </w:font>
  <w:font w:name="Quattrocento Sans">
    <w:embedBold w:fontKey="{00000000-0000-0000-0000-000000000000}" r:id="rId2" w:subsetted="0"/>
    <w:embedBoldItalic w:fontKey="{00000000-0000-0000-0000-000000000000}" r:id="rId3" w:subsetted="0"/>
  </w:font>
  <w:font w:name="Noto Sans Symbols">
    <w:embedRegular w:fontKey="{00000000-0000-0000-0000-000000000000}" r:id="rId4" w:subsetted="0"/>
    <w:embedBold w:fontKey="{00000000-0000-0000-0000-000000000000}" r:id="rId5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hAnsi="Calibri" w:cs="Calibri" w:eastAsia="Calibri"/>
        <w:b w:val="0"/>
        <w:i w:val="0"/>
        <w:smallCaps w:val="0"/>
        <w:strike w:val="0"/>
        <w:color w:val="000000"/>
        <w:sz w:val="22"/>
        <w:u w:val="none"/>
        <w:shd w:fill="auto" w:val="clear"/>
        <w:vertAlign w:val="baseline"/>
      </w:rPr>
    </w:pP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hAnsi="Calibri" w:cs="Calibri" w:eastAsia="Calibri"/>
        <w:b w:val="0"/>
        <w:i w:val="0"/>
        <w:smallCaps w:val="0"/>
        <w:strike w:val="0"/>
        <w:color w:val="000000"/>
        <w:sz w:val="22"/>
        <w:u w:val="none"/>
        <w:shd w:fill="auto" w:val="clear"/>
        <w:vertAlign w:val="baseline"/>
      </w:rPr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pPrDefault>
      <w:pPr>
        <w:spacing w:after="160" w:line="259" w:lineRule="auto"/>
      </w:pPr>
    </w:pPrDefault>
    <w:rPrDefault>
      <w:rPr>
        <w:rFonts w:ascii="Calibri" w:hAnsi="Calibri" w:cs="Calibri" w:eastAsia="Calibri"/>
        <w:sz w:val="22"/>
      </w:rPr>
    </w:rPrDefault>
  </w:docDefaults>
  <w:style w:type="paragraph" w:styleId="Normal" w:default="1">
    <w:name w:val="Normal"/>
    <w:qFormat w:val="1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40" w:lineRule="auto"/>
    </w:pPr>
    <w:rPr>
      <w:rFonts w:ascii="Calibri" w:hAnsi="Calibri" w:cs="Calibri" w:eastAsia="Calibri"/>
      <w:color w:val="225c99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hAnsi="Calibri" w:cs="Calibri" w:eastAsia="Calibri"/>
      <w:color w:val="ffc000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</w:rPr>
  </w:style>
  <w:style w:type="paragraph" w:styleId="Titre1">
    <w:name w:val="heading 1"/>
    <w:basedOn w:val="Normal"/>
    <w:next w:val="Normal"/>
    <w:link w:val="Titre1Car"/>
    <w:uiPriority w:val="9"/>
    <w:qFormat w:val="1"/>
    <w:rsid w:val="002B6AE4"/>
    <w:pPr>
      <w:keepNext w:val="1"/>
      <w:keepLines w:val="1"/>
      <w:spacing w:after="0" w:before="240" w:line="240" w:lineRule="auto"/>
      <w:outlineLvl w:val="0"/>
    </w:pPr>
    <w:rPr>
      <w:rFonts w:asciiTheme="majorHAnsi" w:hAnsiTheme="majorHAnsi" w:cstheme="majorBidi" w:eastAsiaTheme="majorEastAsia"/>
      <w:color w:val="225c99"/>
      <w:sz w:val="32"/>
    </w:rPr>
  </w:style>
  <w:style w:type="paragraph" w:styleId="Titre2">
    <w:name w:val="heading 2"/>
    <w:basedOn w:val="Normal"/>
    <w:next w:val="Normal"/>
    <w:link w:val="Titre2Car"/>
    <w:uiPriority w:val="9"/>
    <w:unhideWhenUsed w:val="1"/>
    <w:qFormat w:val="1"/>
    <w:rsid w:val="00C642B8"/>
    <w:pPr>
      <w:keepNext w:val="1"/>
      <w:keepLines w:val="1"/>
      <w:spacing w:after="0" w:before="40"/>
      <w:outlineLvl w:val="1"/>
    </w:pPr>
    <w:rPr>
      <w:rFonts w:asciiTheme="majorHAnsi" w:hAnsiTheme="majorHAnsi" w:cstheme="majorBidi" w:eastAsiaTheme="majorEastAsia"/>
      <w:color w:val="ffc000"/>
      <w:sz w:val="2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2B6AE4"/>
  </w:style>
  <w:style w:type="paragraph" w:styleId="Pieddepage">
    <w:name w:val="footer"/>
    <w:basedOn w:val="Normal"/>
    <w:link w:val="PieddepageC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2B6AE4"/>
  </w:style>
  <w:style w:type="character" w:styleId="Titre1Car" w:customStyle="1">
    <w:name w:val="Titre 1 Car"/>
    <w:basedOn w:val="Policepardfaut"/>
    <w:link w:val="Titre1"/>
    <w:uiPriority w:val="9"/>
    <w:rsid w:val="002B6AE4"/>
    <w:rPr>
      <w:rFonts w:asciiTheme="majorHAnsi" w:hAnsiTheme="majorHAnsi" w:cstheme="majorBidi" w:eastAsiaTheme="majorEastAsia"/>
      <w:color w:val="225c99"/>
      <w:sz w:val="32"/>
    </w:rPr>
  </w:style>
  <w:style w:type="character" w:styleId="Titre2Car" w:customStyle="1">
    <w:name w:val="Titre 2 Car"/>
    <w:basedOn w:val="Policepardfaut"/>
    <w:link w:val="Titre2"/>
    <w:uiPriority w:val="9"/>
    <w:rsid w:val="00C642B8"/>
    <w:rPr>
      <w:rFonts w:asciiTheme="majorHAnsi" w:hAnsiTheme="majorHAnsi" w:cstheme="majorBidi" w:eastAsiaTheme="majorEastAsia"/>
      <w:color w:val="ffc000"/>
      <w:sz w:val="26"/>
    </w:rPr>
  </w:style>
  <w:style w:type="paragraph" w:styleId="NormalWeb">
    <w:name w:val="Normal (Web)"/>
    <w:basedOn w:val="Normal"/>
    <w:uiPriority w:val="99"/>
    <w:unhideWhenUsed w:val="1"/>
    <w:rsid w:val="00426F7D"/>
    <w:pPr>
      <w:spacing w:after="100" w:afterAutospacing="1" w:before="100" w:beforeAutospacing="1" w:line="240" w:lineRule="auto"/>
    </w:pPr>
    <w:rPr>
      <w:rFonts w:ascii="Times New Roman" w:hAnsi="Times New Roman" w:cs="Times New Roman" w:eastAsia="Times New Roman"/>
      <w:sz w:val="24"/>
    </w:rPr>
  </w:style>
  <w:style w:type="paragraph" w:styleId="Sansinterligne">
    <w:name w:val="No Spacing"/>
    <w:uiPriority w:val="1"/>
    <w:qFormat w:val="1"/>
    <w:rsid w:val="00026A4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 w:val="1"/>
    <w:rsid w:val="00C642B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hAnsi="Georgia" w:cs="Georgia" w:eastAsia="Georgia"/>
      <w:i w:val="1"/>
      <w:color w:val="666666"/>
      <w:sz w:val="48"/>
    </w:rPr>
  </w:style>
  <w:style w:type="paragraph" w:styleId="P68B1DB1-Normal1">
    <w:name w:val="P68B1DB1-Normal1"/>
    <w:basedOn w:val="Normal"/>
    <w:rPr>
      <w:rFonts w:ascii="Bebas Neue" w:hAnsi="Bebas Neue" w:cs="Bebas Neue" w:eastAsia="Bebas Neue"/>
      <w:color w:val="f5b335"/>
      <w:sz w:val="72"/>
    </w:rPr>
  </w:style>
  <w:style w:type="paragraph" w:styleId="P68B1DB1-Normal2">
    <w:name w:val="P68B1DB1-Normal2"/>
    <w:basedOn w:val="Normal"/>
    <w:rPr>
      <w:rFonts w:ascii="Bebas Neue" w:hAnsi="Bebas Neue" w:cs="Bebas Neue" w:eastAsia="Bebas Neue"/>
      <w:color w:val="000000"/>
      <w:sz w:val="64"/>
    </w:rPr>
  </w:style>
  <w:style w:type="paragraph" w:styleId="P68B1DB1-Heading23">
    <w:name w:val="P68B1DB1-Heading23"/>
    <w:basedOn w:val="Heading2"/>
    <w:rPr>
      <w:rFonts w:ascii="Bebas Neue" w:hAnsi="Bebas Neue" w:cs="Bebas Neue" w:eastAsia="Bebas Neue"/>
      <w:color w:val="f5b335"/>
      <w:sz w:val="48"/>
    </w:rPr>
  </w:style>
  <w:style w:type="paragraph" w:styleId="P68B1DB1-Heading24">
    <w:name w:val="P68B1DB1-Heading24"/>
    <w:basedOn w:val="Heading2"/>
    <w:rPr>
      <w:rFonts w:ascii="Quattrocento Sans" w:hAnsi="Quattrocento Sans" w:cs="Quattrocento Sans" w:eastAsia="Quattrocento Sans"/>
      <w:b w:val="1"/>
      <w:color w:val="1f2126"/>
      <w:sz w:val="36"/>
    </w:rPr>
  </w:style>
  <w:style w:type="paragraph" w:styleId="P68B1DB1-Normal5">
    <w:name w:val="P68B1DB1-Normal5"/>
    <w:basedOn w:val="Normal"/>
    <w:rPr>
      <w:rFonts w:ascii="Quattrocento Sans" w:hAnsi="Quattrocento Sans" w:cs="Quattrocento Sans" w:eastAsia="Quattrocento Sans"/>
      <w:sz w:val="24"/>
    </w:rPr>
  </w:style>
  <w:style w:type="paragraph" w:styleId="P68B1DB1-Normal6">
    <w:name w:val="P68B1DB1-Normal6"/>
    <w:basedOn w:val="Normal"/>
    <w:rPr>
      <w:rFonts w:ascii="Quattrocento Sans" w:hAnsi="Quattrocento Sans" w:cs="Quattrocento Sans" w:eastAsia="Quattrocento Sans"/>
      <w:color w:val="000000"/>
      <w:sz w:val="24"/>
    </w:rPr>
  </w:style>
  <w:style w:type="paragraph" w:styleId="P68B1DB1-Heading27">
    <w:name w:val="P68B1DB1-Heading27"/>
    <w:basedOn w:val="Heading2"/>
    <w:rPr>
      <w:rFonts w:ascii="Quattrocento Sans" w:hAnsi="Quattrocento Sans" w:cs="Quattrocento Sans" w:eastAsia="Quattrocento Sans"/>
      <w:sz w:val="24"/>
    </w:rPr>
  </w:style>
  <w:style w:type="paragraph" w:styleId="P68B1DB1-Normal8">
    <w:name w:val="P68B1DB1-Normal8"/>
    <w:basedOn w:val="Normal"/>
    <w:rPr>
      <w:rFonts w:ascii="Quattrocento Sans" w:hAnsi="Quattrocento Sans" w:cs="Quattrocento Sans" w:eastAsia="Quattrocento Sans"/>
      <w:color w:val="000000"/>
      <w:sz w:val="24"/>
      <w:shd w:fill="auto" w:val="clear"/>
    </w:rPr>
  </w:style>
  <w:style w:type="paragraph" w:styleId="P68B1DB1-Normal9">
    <w:name w:val="P68B1DB1-Normal9"/>
    <w:basedOn w:val="Normal"/>
    <w:rPr>
      <w:rFonts w:ascii="Source Sans Pro" w:hAnsi="Source Sans Pro" w:cs="Source Sans Pro" w:eastAsia="Source Sans Pro"/>
      <w:color w:val="00000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boldItalic.ttf"/><Relationship Id="rId4" Type="http://schemas.openxmlformats.org/officeDocument/2006/relationships/font" Target="fonts/NotoSansSymbols-regular.ttf"/><Relationship Id="rId5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fUICPJE2M20E758+ZakNAC0KRg==">CgMxLjAyCGguZ2pkZ3hzOAByITFfT3RhbkpEQldZYUo4LTFmTV9fYnpFbTY2bTF6WE90Nw==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2023-02-14T11:52:00Z</dcterms:created>
  <dc:creator>Gary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