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420B" w14:textId="050DDB95" w:rsidR="009B5A6B" w:rsidRDefault="00117755">
      <w:pPr>
        <w:tabs>
          <w:tab w:val="left" w:pos="900"/>
        </w:tabs>
      </w:pPr>
      <w:r>
        <w:rPr>
          <w:noProof/>
        </w:rPr>
        <mc:AlternateContent>
          <mc:Choice Requires="wps">
            <w:drawing>
              <wp:anchor distT="45720" distB="45720" distL="114300" distR="114300" simplePos="0" relativeHeight="251659264" behindDoc="0" locked="0" layoutInCell="1" hidden="0" allowOverlap="1" wp14:anchorId="27F451C6" wp14:editId="2DB25C95">
                <wp:simplePos x="0" y="0"/>
                <wp:positionH relativeFrom="column">
                  <wp:posOffset>1905000</wp:posOffset>
                </wp:positionH>
                <wp:positionV relativeFrom="paragraph">
                  <wp:posOffset>1089660</wp:posOffset>
                </wp:positionV>
                <wp:extent cx="4025900" cy="314706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147060"/>
                        </a:xfrm>
                        <a:prstGeom prst="rect">
                          <a:avLst/>
                        </a:prstGeom>
                        <a:noFill/>
                        <a:ln>
                          <a:noFill/>
                        </a:ln>
                      </wps:spPr>
                      <wps:txbx>
                        <w:txbxContent>
                          <w:p w14:paraId="296DC2F3" w14:textId="13FBD27A" w:rsidR="009B5A6B" w:rsidRDefault="00000000">
                            <w:pPr>
                              <w:pStyle w:val="P68B1DB1-Normal1"/>
                              <w:spacing w:line="258" w:lineRule="auto"/>
                              <w:jc w:val="right"/>
                              <w:textDirection w:val="btLr"/>
                            </w:pPr>
                            <w:r>
                              <w:t xml:space="preserve">Građanska kompetencija </w:t>
                            </w:r>
                            <w:r w:rsidR="00117755">
                              <w:t>KROZ</w:t>
                            </w:r>
                            <w:r>
                              <w:t xml:space="preserve"> digitaln</w:t>
                            </w:r>
                            <w:r w:rsidR="00117755">
                              <w:t>E</w:t>
                            </w:r>
                            <w:r>
                              <w:t xml:space="preserve"> i društven</w:t>
                            </w:r>
                            <w:r w:rsidR="00117755">
                              <w:t>E VJEŠTINE</w:t>
                            </w:r>
                          </w:p>
                          <w:p w14:paraId="72DCB6EC" w14:textId="70A7ABB5" w:rsidR="009B5A6B" w:rsidRDefault="00000000">
                            <w:pPr>
                              <w:pStyle w:val="P68B1DB1-Normal2"/>
                              <w:spacing w:line="258" w:lineRule="auto"/>
                              <w:jc w:val="right"/>
                              <w:textDirection w:val="btLr"/>
                            </w:pPr>
                            <w:r>
                              <w:t xml:space="preserve">Priručnik za </w:t>
                            </w:r>
                            <w:r w:rsidR="00117755">
                              <w:t>NASTAVNIKE U OBRAZOVANJU</w:t>
                            </w:r>
                            <w:r>
                              <w:t xml:space="preserve"> odraslih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F451C6" id="Rectangle 5" o:spid="_x0000_s1026" style="position:absolute;margin-left:150pt;margin-top:85.8pt;width:317pt;height:24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" filled="f" stroked="f">
                <v:textbox inset="2.53958mm,1.2694mm,2.53958mm,1.2694mm">
                  <w:txbxContent>
                    <w:p w14:paraId="296DC2F3" w14:textId="13FBD27A" w:rsidR="009B5A6B" w:rsidRDefault="00000000">
                      <w:pPr>
                        <w:pStyle w:val="P68B1DB1-Normal1"/>
                        <w:spacing w:line="258" w:lineRule="auto"/>
                        <w:jc w:val="right"/>
                        <w:textDirection w:val="btLr"/>
                      </w:pPr>
                      <w:r>
                        <w:t xml:space="preserve">Građanska kompetencija </w:t>
                      </w:r>
                      <w:r w:rsidR="00117755">
                        <w:t>KROZ</w:t>
                      </w:r>
                      <w:r>
                        <w:t xml:space="preserve"> digitaln</w:t>
                      </w:r>
                      <w:r w:rsidR="00117755">
                        <w:t>E</w:t>
                      </w:r>
                      <w:r>
                        <w:t xml:space="preserve"> i društven</w:t>
                      </w:r>
                      <w:r w:rsidR="00117755">
                        <w:t>E VJEŠTINE</w:t>
                      </w:r>
                    </w:p>
                    <w:p w14:paraId="72DCB6EC" w14:textId="70A7ABB5" w:rsidR="009B5A6B" w:rsidRDefault="00000000">
                      <w:pPr>
                        <w:pStyle w:val="P68B1DB1-Normal2"/>
                        <w:spacing w:line="258" w:lineRule="auto"/>
                        <w:jc w:val="right"/>
                        <w:textDirection w:val="btLr"/>
                      </w:pPr>
                      <w:r>
                        <w:t xml:space="preserve">Priručnik za </w:t>
                      </w:r>
                      <w:r w:rsidR="00117755">
                        <w:t>NASTAVNIKE U OBRAZOVANJU</w:t>
                      </w:r>
                      <w:r>
                        <w:t xml:space="preserve"> odraslih</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581CD4BA" wp14:editId="1BE0E22B">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2.png" descr="Shap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1B1B8E71" w14:textId="6D1340EF" w:rsidR="009B5A6B" w:rsidRDefault="00000000">
      <w:pPr>
        <w:pStyle w:val="P68B1DB1-Heading23"/>
        <w:tabs>
          <w:tab w:val="left" w:pos="5341"/>
        </w:tabs>
        <w:jc w:val="center"/>
      </w:pPr>
      <w:r>
        <w:lastRenderedPageBreak/>
        <w:t xml:space="preserve">Izvori mikroučenja za ponovno uključivanje niskokvalificiranih odraslih </w:t>
      </w:r>
      <w:r w:rsidR="00117755">
        <w:t>POLAZNIKA</w:t>
      </w:r>
      <w:r>
        <w:t xml:space="preserve"> u obrazovanje i osposobljavanje </w:t>
      </w:r>
    </w:p>
    <w:p w14:paraId="0B345501" w14:textId="753F8FF1" w:rsidR="009B5A6B" w:rsidRDefault="00000000">
      <w:pPr>
        <w:pStyle w:val="P68B1DB1-Heading24"/>
        <w:tabs>
          <w:tab w:val="left" w:pos="5341"/>
        </w:tabs>
      </w:pPr>
      <w:r>
        <w:t xml:space="preserve">Priručnik za </w:t>
      </w:r>
      <w:r w:rsidR="00117755">
        <w:t>nastavnike u obrazovanju</w:t>
      </w:r>
      <w:r>
        <w:t xml:space="preserve"> odraslih </w:t>
      </w:r>
    </w:p>
    <w:p w14:paraId="71ADB391" w14:textId="77777777" w:rsidR="009B5A6B" w:rsidRDefault="009B5A6B">
      <w:pPr>
        <w:jc w:val="both"/>
        <w:rPr>
          <w:rFonts w:ascii="Quattrocento Sans" w:eastAsia="Quattrocento Sans" w:hAnsi="Quattrocento Sans" w:cs="Quattrocento Sans"/>
          <w:sz w:val="24"/>
        </w:rPr>
      </w:pPr>
    </w:p>
    <w:p w14:paraId="2FCEC853" w14:textId="56216D2F" w:rsidR="009B5A6B" w:rsidRDefault="00000000">
      <w:pPr>
        <w:pStyle w:val="P68B1DB1-Normal5"/>
        <w:spacing w:line="360" w:lineRule="auto"/>
        <w:jc w:val="both"/>
      </w:pPr>
      <w:r>
        <w:t xml:space="preserve">Cilj ovog kratkog priručnika je podržati vas, kao iskusnog edukatora koji radi s niskokvalificiranim i marginaliziranim odraslim </w:t>
      </w:r>
      <w:r w:rsidR="00117755">
        <w:t>polaznicima</w:t>
      </w:r>
      <w:r>
        <w:t xml:space="preserve">, s različitim potrebama, da koristite video resurse i listove aktivnosti koji se nalaze u paketu resursa za mikro učenje kako biste ponovno angažirali niskokvalificirane odrasle </w:t>
      </w:r>
      <w:r w:rsidR="007C453A">
        <w:t>polaznike</w:t>
      </w:r>
      <w:r>
        <w:t xml:space="preserve"> u vašem centru i u vašoj zajednici. Kroz ovaj kratki priručnik pružit ćemo vam neke osnovne informacije o temi o kojoj se raspravlja u video resursu i pružiti neke smjernice koje će vam pomoći da uvedete i provedete prateću aktivnost s odraslim </w:t>
      </w:r>
      <w:r w:rsidR="007C453A">
        <w:t>polaznicima</w:t>
      </w:r>
      <w:r>
        <w:t xml:space="preserve"> u vašoj grupi. Aktivnost koja je razvijena kako bi pratila video resurse ima za cilj daljnji razvoj njihovog razumijevanja teme navedene u video resursu. Naposljetku, ovaj će vam priručnik predstaviti i neka kratka pitanja koja možete upotrijebiti u svojoj skupini odraslih polaznika kako biste procijenili jednostavnost korištenja i kvalitetu aktivnosti koju ste završili s njima. </w:t>
      </w:r>
    </w:p>
    <w:p w14:paraId="2AE7DB5D" w14:textId="77777777" w:rsidR="009B5A6B" w:rsidRDefault="009B5A6B">
      <w:pPr>
        <w:spacing w:line="360" w:lineRule="auto"/>
        <w:rPr>
          <w:rFonts w:ascii="Quattrocento Sans" w:eastAsia="Quattrocento Sans" w:hAnsi="Quattrocento Sans" w:cs="Quattrocento Sans"/>
          <w:color w:val="000000"/>
          <w:sz w:val="24"/>
        </w:rPr>
      </w:pPr>
    </w:p>
    <w:p w14:paraId="1BD75601" w14:textId="23C0FD9F" w:rsidR="009B5A6B" w:rsidRDefault="00000000">
      <w:pPr>
        <w:pStyle w:val="P68B1DB1-Normal5"/>
        <w:spacing w:line="360" w:lineRule="auto"/>
        <w:rPr>
          <w:i/>
        </w:rPr>
      </w:pPr>
      <w:r>
        <w:t xml:space="preserve">Tema ovog priručnika odnosi se na video resurse </w:t>
      </w:r>
      <w:r w:rsidR="007C453A">
        <w:t>Gra</w:t>
      </w:r>
      <w:r w:rsidR="007C453A">
        <w:rPr>
          <w:rFonts w:ascii="Calibri" w:hAnsi="Calibri" w:cs="Calibri"/>
        </w:rPr>
        <w:t>đanska kompetencija kroz digitalne i društvene vještine</w:t>
      </w:r>
      <w:r w:rsidR="007C453A">
        <w:t>.</w:t>
      </w:r>
    </w:p>
    <w:p w14:paraId="2F0B2853" w14:textId="77777777" w:rsidR="009B5A6B" w:rsidRDefault="009B5A6B">
      <w:pPr>
        <w:rPr>
          <w:rFonts w:ascii="Quattrocento Sans" w:eastAsia="Quattrocento Sans" w:hAnsi="Quattrocento Sans" w:cs="Quattrocento Sans"/>
          <w:i/>
          <w:color w:val="000000"/>
          <w:sz w:val="24"/>
        </w:rPr>
      </w:pPr>
    </w:p>
    <w:p w14:paraId="5A16C853" w14:textId="77777777" w:rsidR="009B5A6B" w:rsidRDefault="00000000">
      <w:pPr>
        <w:pStyle w:val="P68B1DB1-Heading26"/>
      </w:pPr>
      <w:r>
        <w:t xml:space="preserve">Uvod u temu </w:t>
      </w:r>
    </w:p>
    <w:p w14:paraId="370FFFA1" w14:textId="77777777" w:rsidR="009B5A6B" w:rsidRDefault="009B5A6B">
      <w:pPr>
        <w:rPr>
          <w:rFonts w:ascii="Quattrocento Sans" w:eastAsia="Quattrocento Sans" w:hAnsi="Quattrocento Sans" w:cs="Quattrocento Sans"/>
          <w:sz w:val="24"/>
        </w:rPr>
      </w:pPr>
    </w:p>
    <w:p w14:paraId="7BCE9768" w14:textId="77777777" w:rsidR="009B5A6B" w:rsidRDefault="00000000">
      <w:pPr>
        <w:pStyle w:val="P68B1DB1-Normal7"/>
        <w:spacing w:line="360" w:lineRule="auto"/>
        <w:jc w:val="both"/>
      </w:pPr>
      <w:r>
        <w:t xml:space="preserve">Internet, društveni mediji i digitalni alati mogu pomoći niskokvalificiranim odraslim osobama da razviju svoje građanske kompetencije. Doista, tijekom proteklog desetljeća mnogi društveni aktivisti koristili su digitalnu tehnologiju kako bi prenijeli svoje ideje. Arapsko proljeće, Black Lives Matter i druge organizacije uživale su u velikom uspjehu uključivanjem digitalnih alata u svoj rad. Društvene mreže i internet mogu razviti građanske kompetencije i pomoći vam da postanete aktivan građanin u svojoj zajednici i društvu. Kroz resurse u JEDNOM KORAKU, niskokvalificirane odrasle osobe mogu </w:t>
      </w:r>
      <w:r>
        <w:lastRenderedPageBreak/>
        <w:t xml:space="preserve">istražiti kako ti materijali za učenje mogu pozitivno utjecati na njihovu sposobnost da postanu aktivni građani i uključe se u svoju zajednicu. </w:t>
      </w:r>
    </w:p>
    <w:p w14:paraId="3F935B68" w14:textId="77777777" w:rsidR="009B5A6B" w:rsidRDefault="009B5A6B">
      <w:pPr>
        <w:rPr>
          <w:rFonts w:ascii="Quattrocento Sans" w:eastAsia="Quattrocento Sans" w:hAnsi="Quattrocento Sans" w:cs="Quattrocento Sans"/>
          <w:sz w:val="24"/>
        </w:rPr>
      </w:pPr>
    </w:p>
    <w:p w14:paraId="13266A8B" w14:textId="77777777" w:rsidR="009B5A6B" w:rsidRDefault="00000000">
      <w:pPr>
        <w:pStyle w:val="P68B1DB1-Heading26"/>
      </w:pPr>
      <w:r>
        <w:t xml:space="preserve">Uvod u aktivnost </w:t>
      </w:r>
    </w:p>
    <w:p w14:paraId="43D20E18" w14:textId="77777777" w:rsidR="009B5A6B" w:rsidRDefault="009B5A6B"/>
    <w:p w14:paraId="6C738003" w14:textId="2B5B1D33" w:rsidR="009B5A6B" w:rsidRDefault="00000000">
      <w:pPr>
        <w:pStyle w:val="P68B1DB1-Normal7"/>
        <w:spacing w:line="360" w:lineRule="auto"/>
        <w:jc w:val="both"/>
      </w:pPr>
      <w:r>
        <w:t xml:space="preserve">U </w:t>
      </w:r>
      <w:r w:rsidR="007E7F59">
        <w:t>pisanom materijalu</w:t>
      </w:r>
      <w:r>
        <w:t xml:space="preserve"> za </w:t>
      </w:r>
      <w:r w:rsidR="007C453A">
        <w:t>polaznike</w:t>
      </w:r>
      <w:r>
        <w:t xml:space="preserve">, niskokvalificirane odrasle osobe imaju priliku istražiti inicijativu Vijeća EU-a s igrom EUcraft. Ova igra je digitalna simulacija na mreži. Cilj je pregovarati i postići dogovor unutar Vijeća. Ova inicijativa omogućuje razvoj građanskih kompetencija i aktivnog građanstva kroz digitalnu igru i digitalne alate. </w:t>
      </w:r>
    </w:p>
    <w:p w14:paraId="2602F65E" w14:textId="77777777" w:rsidR="009B5A6B" w:rsidRDefault="009B5A6B">
      <w:pPr>
        <w:rPr>
          <w:rFonts w:ascii="Quattrocento Sans" w:eastAsia="Quattrocento Sans" w:hAnsi="Quattrocento Sans" w:cs="Quattrocento Sans"/>
          <w:sz w:val="24"/>
        </w:rPr>
      </w:pPr>
    </w:p>
    <w:p w14:paraId="5AB2309D" w14:textId="77777777" w:rsidR="009B5A6B" w:rsidRDefault="00000000">
      <w:pPr>
        <w:pStyle w:val="P68B1DB1-Normal7"/>
        <w:spacing w:line="360" w:lineRule="auto"/>
        <w:jc w:val="both"/>
      </w:pPr>
      <w:bookmarkStart w:id="0" w:name="_heading=h.gjdgxs" w:colFirst="0" w:colLast="0"/>
      <w:bookmarkEnd w:id="0"/>
      <w:r>
        <w:t xml:space="preserve">Štoviše, polaznici imaju mogućnost uključiti se u zanimljivu „Podršku peticiji upućenoj Europskom parlamentu”. Ova aktivnost pomoći će vam da otkrijete mogućnost ulaganja u Europsku zajednicu podupiranjem inicijative i peticije bliske vašem srcu i uvjerenju. </w:t>
      </w:r>
    </w:p>
    <w:p w14:paraId="00FFE748" w14:textId="77777777" w:rsidR="009B5A6B" w:rsidRDefault="009B5A6B">
      <w:pPr>
        <w:rPr>
          <w:rFonts w:ascii="Quattrocento Sans" w:eastAsia="Quattrocento Sans" w:hAnsi="Quattrocento Sans" w:cs="Quattrocento Sans"/>
          <w:sz w:val="24"/>
        </w:rPr>
      </w:pPr>
    </w:p>
    <w:p w14:paraId="74586C60" w14:textId="77777777" w:rsidR="009B5A6B" w:rsidRDefault="00000000">
      <w:pPr>
        <w:pStyle w:val="P68B1DB1-Heading26"/>
      </w:pPr>
      <w:r>
        <w:t xml:space="preserve">Korištenje ovog resursa s grupom </w:t>
      </w:r>
    </w:p>
    <w:p w14:paraId="7F429A0E" w14:textId="77777777" w:rsidR="009B5A6B" w:rsidRDefault="009B5A6B"/>
    <w:p w14:paraId="391D0824" w14:textId="6ABECEB2" w:rsidR="009B5A6B" w:rsidRDefault="00000000">
      <w:pPr>
        <w:pStyle w:val="P68B1DB1-Normal5"/>
        <w:shd w:val="clear" w:color="auto" w:fill="FFFFFF"/>
        <w:spacing w:after="225" w:line="360" w:lineRule="auto"/>
        <w:jc w:val="both"/>
      </w:pPr>
      <w:r>
        <w:t xml:space="preserve">Da biste koristili ovaj resurs s odraslim </w:t>
      </w:r>
      <w:r w:rsidR="00C80DE6">
        <w:t>polaznicima</w:t>
      </w:r>
      <w:r>
        <w:t xml:space="preserve"> u vašoj lokalnoj grupi, preporučujemo da im počnete pokazivati video resurs kako biste uveli temu.</w:t>
      </w:r>
      <w:r>
        <w:rPr>
          <w:i/>
        </w:rPr>
        <w:t xml:space="preserve"> </w:t>
      </w:r>
      <w:r>
        <w:t xml:space="preserve">Ovaj će videozapis pomoći </w:t>
      </w:r>
      <w:r w:rsidR="00C80DE6">
        <w:t xml:space="preserve">polaznicima </w:t>
      </w:r>
      <w:r>
        <w:t xml:space="preserve">da razumiju temu prije nego što započnu aktivnost Priručnika za </w:t>
      </w:r>
      <w:r w:rsidR="00C80DE6">
        <w:t>polaznike</w:t>
      </w:r>
      <w:r>
        <w:t xml:space="preserve">. Nakon što steknu opće znanje o temi, moći će započeti </w:t>
      </w:r>
      <w:r w:rsidR="00C80DE6">
        <w:t>s pisanim materijalima</w:t>
      </w:r>
      <w:r>
        <w:t xml:space="preserve">. Za to preporučujemo da ispišete jedan </w:t>
      </w:r>
      <w:r w:rsidR="00C80DE6">
        <w:t>pisani materijal po polazniku</w:t>
      </w:r>
      <w:r>
        <w:t xml:space="preserve"> kako biste dovršili. Sve što je </w:t>
      </w:r>
      <w:r w:rsidR="00C80DE6">
        <w:t>polaznicima</w:t>
      </w:r>
      <w:r>
        <w:t xml:space="preserve"> potrebno za ovaj resurs je olovka i računalo za gledanje videozapisa. Za dovršetak ovog materijala trebat će vam ukupno jedan sat.</w:t>
      </w:r>
    </w:p>
    <w:p w14:paraId="29CE2D10" w14:textId="77777777" w:rsidR="009B5A6B" w:rsidRDefault="00000000">
      <w:pPr>
        <w:pStyle w:val="P68B1DB1-Heading26"/>
      </w:pPr>
      <w:r>
        <w:t>Pitanja za brifing</w:t>
      </w:r>
    </w:p>
    <w:p w14:paraId="65A38C70" w14:textId="77777777" w:rsidR="009B5A6B" w:rsidRDefault="009B5A6B"/>
    <w:p w14:paraId="4E4F856B" w14:textId="77777777" w:rsidR="009B5A6B" w:rsidRDefault="00000000">
      <w:pPr>
        <w:pStyle w:val="P68B1DB1-Normal7"/>
        <w:spacing w:line="360" w:lineRule="auto"/>
        <w:jc w:val="both"/>
      </w:pPr>
      <w:r>
        <w:t>Evo nekoliko potencijalnih pitanja za raspravu o kojima sudionici mogu razmisliti nakon završetka studije slučaja i aktivnosti:</w:t>
      </w:r>
    </w:p>
    <w:p w14:paraId="5BBE46D1" w14:textId="77777777" w:rsidR="009B5A6B" w:rsidRDefault="00000000">
      <w:pPr>
        <w:pStyle w:val="P68B1DB1-Normal8"/>
        <w:numPr>
          <w:ilvl w:val="0"/>
          <w:numId w:val="1"/>
        </w:numPr>
        <w:pBdr>
          <w:top w:val="nil"/>
          <w:left w:val="nil"/>
          <w:bottom w:val="nil"/>
          <w:right w:val="nil"/>
          <w:between w:val="nil"/>
        </w:pBdr>
        <w:spacing w:after="0" w:line="360" w:lineRule="auto"/>
      </w:pPr>
      <w:r>
        <w:t xml:space="preserve">Što vas najviše iznenađuje u igri EUcraft? </w:t>
      </w:r>
    </w:p>
    <w:p w14:paraId="2DAF9DD0" w14:textId="505803DB" w:rsidR="009B5A6B" w:rsidRDefault="00000000">
      <w:pPr>
        <w:pStyle w:val="P68B1DB1-Normal8"/>
        <w:numPr>
          <w:ilvl w:val="0"/>
          <w:numId w:val="1"/>
        </w:numPr>
        <w:pBdr>
          <w:top w:val="nil"/>
          <w:left w:val="nil"/>
          <w:bottom w:val="nil"/>
          <w:right w:val="nil"/>
          <w:between w:val="nil"/>
        </w:pBdr>
        <w:spacing w:after="0" w:line="360" w:lineRule="auto"/>
      </w:pPr>
      <w:r>
        <w:t xml:space="preserve">Jeste li igrali ovu igru? </w:t>
      </w:r>
      <w:r w:rsidR="00C80DE6">
        <w:t xml:space="preserve">Kako vam se </w:t>
      </w:r>
      <w:r w:rsidR="00C80DE6">
        <w:rPr>
          <w:rFonts w:ascii="Calibri" w:hAnsi="Calibri" w:cs="Calibri"/>
        </w:rPr>
        <w:t>čini</w:t>
      </w:r>
      <w:r>
        <w:t xml:space="preserve">? </w:t>
      </w:r>
    </w:p>
    <w:p w14:paraId="4545FEE4" w14:textId="77777777" w:rsidR="009B5A6B" w:rsidRDefault="00000000">
      <w:pPr>
        <w:pStyle w:val="P68B1DB1-Normal7"/>
        <w:numPr>
          <w:ilvl w:val="0"/>
          <w:numId w:val="1"/>
        </w:numPr>
        <w:pBdr>
          <w:top w:val="nil"/>
          <w:left w:val="nil"/>
          <w:bottom w:val="nil"/>
          <w:right w:val="nil"/>
          <w:between w:val="nil"/>
        </w:pBdr>
        <w:spacing w:after="0" w:line="360" w:lineRule="auto"/>
        <w:rPr>
          <w:color w:val="000000"/>
        </w:rPr>
      </w:pPr>
      <w:r>
        <w:rPr>
          <w:color w:val="000000"/>
        </w:rPr>
        <w:t xml:space="preserve">Na koji je način ova igra išla </w:t>
      </w:r>
      <w:r>
        <w:t>dalje od</w:t>
      </w:r>
      <w:r>
        <w:rPr>
          <w:color w:val="000000"/>
        </w:rPr>
        <w:t xml:space="preserve"> pukog podučavanja građanske kompetencije? </w:t>
      </w:r>
    </w:p>
    <w:p w14:paraId="295051DD" w14:textId="77777777" w:rsidR="009B5A6B" w:rsidRDefault="00000000">
      <w:pPr>
        <w:pStyle w:val="P68B1DB1-Normal7"/>
        <w:numPr>
          <w:ilvl w:val="0"/>
          <w:numId w:val="1"/>
        </w:numPr>
        <w:pBdr>
          <w:top w:val="nil"/>
          <w:left w:val="nil"/>
          <w:bottom w:val="nil"/>
          <w:right w:val="nil"/>
          <w:between w:val="nil"/>
        </w:pBdr>
        <w:spacing w:after="0" w:line="360" w:lineRule="auto"/>
        <w:rPr>
          <w:color w:val="000000"/>
        </w:rPr>
      </w:pPr>
      <w:r>
        <w:rPr>
          <w:color w:val="000000"/>
        </w:rPr>
        <w:lastRenderedPageBreak/>
        <w:t xml:space="preserve">Kakav </w:t>
      </w:r>
      <w:r>
        <w:t>je bio</w:t>
      </w:r>
      <w:r>
        <w:rPr>
          <w:color w:val="000000"/>
        </w:rPr>
        <w:t xml:space="preserve"> vaš doživljaj tijekom aktivnosti „Peticija”? Jeste li znali za ovo pravo? </w:t>
      </w:r>
    </w:p>
    <w:p w14:paraId="09614762" w14:textId="77777777" w:rsidR="009B5A6B" w:rsidRDefault="00000000">
      <w:pPr>
        <w:pStyle w:val="P68B1DB1-Normal8"/>
        <w:numPr>
          <w:ilvl w:val="0"/>
          <w:numId w:val="1"/>
        </w:numPr>
        <w:pBdr>
          <w:top w:val="nil"/>
          <w:left w:val="nil"/>
          <w:bottom w:val="nil"/>
          <w:right w:val="nil"/>
          <w:between w:val="nil"/>
        </w:pBdr>
        <w:spacing w:line="360" w:lineRule="auto"/>
      </w:pPr>
      <w:r>
        <w:t xml:space="preserve">Kako se digitalne i društvene discipline mogu uključiti u programe obrazovanja ili osposobljavanja za niskokvalificirane odrasle osobe kako bi se poboljšala njihova građanska kompetencija? </w:t>
      </w:r>
    </w:p>
    <w:p w14:paraId="73FC21A3" w14:textId="77777777" w:rsidR="009B5A6B" w:rsidRDefault="009B5A6B"/>
    <w:p w14:paraId="2AA35C68" w14:textId="77777777" w:rsidR="009B5A6B" w:rsidRDefault="00000000">
      <w:pPr>
        <w:pStyle w:val="P68B1DB1-Normal9"/>
        <w:jc w:val="center"/>
      </w:pPr>
      <w:r>
        <w:rPr>
          <w:noProof/>
        </w:rPr>
        <w:lastRenderedPageBreak/>
        <w:drawing>
          <wp:anchor distT="0" distB="0" distL="114300" distR="114300" simplePos="0" relativeHeight="251660288" behindDoc="0" locked="0" layoutInCell="1" hidden="0" allowOverlap="1" wp14:anchorId="75D32E8E" wp14:editId="41ADFFD0">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1.png" descr="Timelin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  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t xml:space="preserve"> </w:t>
      </w:r>
    </w:p>
    <w:sectPr w:rsidR="009B5A6B">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C10B" w14:textId="77777777" w:rsidR="00B620A9" w:rsidRDefault="00B620A9">
      <w:pPr>
        <w:spacing w:after="0" w:line="240" w:lineRule="auto"/>
      </w:pPr>
      <w:r>
        <w:separator/>
      </w:r>
    </w:p>
  </w:endnote>
  <w:endnote w:type="continuationSeparator" w:id="0">
    <w:p w14:paraId="248C0886" w14:textId="77777777" w:rsidR="00B620A9" w:rsidRDefault="00B6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Bebas Neue">
    <w:charset w:val="EE"/>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57A2" w14:textId="77777777" w:rsidR="009B5A6B" w:rsidRDefault="009B5A6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76EC" w14:textId="77777777" w:rsidR="00B620A9" w:rsidRDefault="00B620A9">
      <w:pPr>
        <w:spacing w:after="0" w:line="240" w:lineRule="auto"/>
      </w:pPr>
      <w:r>
        <w:separator/>
      </w:r>
    </w:p>
  </w:footnote>
  <w:footnote w:type="continuationSeparator" w:id="0">
    <w:p w14:paraId="454A37B1" w14:textId="77777777" w:rsidR="00B620A9" w:rsidRDefault="00B6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D35" w14:textId="77777777" w:rsidR="009B5A6B" w:rsidRDefault="009B5A6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4"/>
    <w:multiLevelType w:val="multilevel"/>
    <w:tmpl w:val="0F347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783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6B"/>
    <w:rsid w:val="00117755"/>
    <w:rsid w:val="007C453A"/>
    <w:rsid w:val="007E7F59"/>
    <w:rsid w:val="009B5A6B"/>
    <w:rsid w:val="00B620A9"/>
    <w:rsid w:val="00C80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A78C"/>
  <w15:docId w15:val="{352657D3-8359-4B66-8669-92396E0C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rPr>
  </w:style>
  <w:style w:type="paragraph" w:styleId="Heading2">
    <w:name w:val="heading 2"/>
    <w:basedOn w:val="Normal"/>
    <w:next w:val="Normal"/>
    <w:link w:val="Heading2Char"/>
    <w:uiPriority w:val="9"/>
    <w:semiHidden/>
    <w:unhideWhenUsed/>
    <w:qFormat/>
    <w:rsid w:val="00C642B8"/>
    <w:pPr>
      <w:keepNext/>
      <w:keepLines/>
      <w:spacing w:before="40" w:after="0"/>
      <w:outlineLvl w:val="1"/>
    </w:pPr>
    <w:rPr>
      <w:rFonts w:asciiTheme="majorHAnsi" w:eastAsiaTheme="majorEastAsia" w:hAnsiTheme="majorHAnsi" w:cstheme="majorBidi"/>
      <w:color w:val="FFC000"/>
      <w:sz w:val="2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P68B1DB1-Normal1">
    <w:name w:val="P68B1DB1-Normal1"/>
    <w:basedOn w:val="Normal"/>
    <w:rPr>
      <w:rFonts w:ascii="Bebas Neue" w:eastAsia="Bebas Neue" w:hAnsi="Bebas Neue" w:cs="Bebas Neue"/>
      <w:color w:val="F5B335"/>
      <w:sz w:val="72"/>
    </w:rPr>
  </w:style>
  <w:style w:type="paragraph" w:customStyle="1" w:styleId="P68B1DB1-Normal2">
    <w:name w:val="P68B1DB1-Normal2"/>
    <w:basedOn w:val="Normal"/>
    <w:rPr>
      <w:rFonts w:ascii="Bebas Neue" w:eastAsia="Bebas Neue" w:hAnsi="Bebas Neue" w:cs="Bebas Neue"/>
      <w:color w:val="000000"/>
      <w:sz w:val="64"/>
    </w:rPr>
  </w:style>
  <w:style w:type="paragraph" w:customStyle="1" w:styleId="P68B1DB1-Heading23">
    <w:name w:val="P68B1DB1-Heading23"/>
    <w:basedOn w:val="Heading2"/>
    <w:rPr>
      <w:rFonts w:ascii="Bebas Neue" w:eastAsia="Bebas Neue" w:hAnsi="Bebas Neue" w:cs="Bebas Neue"/>
      <w:color w:val="F5B335"/>
      <w:sz w:val="48"/>
    </w:rPr>
  </w:style>
  <w:style w:type="paragraph" w:customStyle="1" w:styleId="P68B1DB1-Heading24">
    <w:name w:val="P68B1DB1-Heading24"/>
    <w:basedOn w:val="Heading2"/>
    <w:rPr>
      <w:rFonts w:ascii="Quattrocento Sans" w:eastAsia="Quattrocento Sans" w:hAnsi="Quattrocento Sans" w:cs="Quattrocento Sans"/>
      <w:b/>
      <w:color w:val="1F2126"/>
      <w:sz w:val="36"/>
    </w:rPr>
  </w:style>
  <w:style w:type="paragraph" w:customStyle="1" w:styleId="P68B1DB1-Normal5">
    <w:name w:val="P68B1DB1-Normal5"/>
    <w:basedOn w:val="Normal"/>
    <w:rPr>
      <w:rFonts w:ascii="Quattrocento Sans" w:eastAsia="Quattrocento Sans" w:hAnsi="Quattrocento Sans" w:cs="Quattrocento Sans"/>
      <w:color w:val="000000"/>
      <w:sz w:val="24"/>
    </w:rPr>
  </w:style>
  <w:style w:type="paragraph" w:customStyle="1" w:styleId="P68B1DB1-Heading26">
    <w:name w:val="P68B1DB1-Heading26"/>
    <w:basedOn w:val="Heading2"/>
    <w:rPr>
      <w:rFonts w:ascii="Quattrocento Sans" w:eastAsia="Quattrocento Sans" w:hAnsi="Quattrocento Sans" w:cs="Quattrocento Sans"/>
      <w:sz w:val="24"/>
    </w:rPr>
  </w:style>
  <w:style w:type="paragraph" w:customStyle="1" w:styleId="P68B1DB1-Normal7">
    <w:name w:val="P68B1DB1-Normal7"/>
    <w:basedOn w:val="Normal"/>
    <w:rPr>
      <w:rFonts w:ascii="Quattrocento Sans" w:eastAsia="Quattrocento Sans" w:hAnsi="Quattrocento Sans" w:cs="Quattrocento Sans"/>
      <w:sz w:val="24"/>
    </w:rPr>
  </w:style>
  <w:style w:type="paragraph" w:customStyle="1" w:styleId="P68B1DB1-Normal8">
    <w:name w:val="P68B1DB1-Normal8"/>
    <w:basedOn w:val="Normal"/>
    <w:rPr>
      <w:rFonts w:ascii="Quattrocento Sans" w:eastAsia="Quattrocento Sans" w:hAnsi="Quattrocento Sans" w:cs="Quattrocento Sans"/>
      <w:color w:val="000000"/>
      <w:sz w:val="24"/>
    </w:rPr>
  </w:style>
  <w:style w:type="paragraph" w:customStyle="1" w:styleId="P68B1DB1-Normal9">
    <w:name w:val="P68B1DB1-Normal9"/>
    <w:basedOn w:val="Normal"/>
    <w:rPr>
      <w:rFonts w:ascii="Source Sans Pro" w:eastAsia="Source Sans Pro" w:hAnsi="Source Sans Pro" w:cs="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lv0gVdwdROzkWgGWXZ0dovnVw==">CgMxLjAyCGguZ2pkZ3hzOAByITFxdXJlYjZsYlhhUDI1bGpNSU16ZlUxUmFIQnV6ci1xQw==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Dante</cp:lastModifiedBy>
  <cp:revision>5</cp:revision>
  <dcterms:created xsi:type="dcterms:W3CDTF">2023-02-14T11:52:00Z</dcterms:created>
  <dcterms:modified xsi:type="dcterms:W3CDTF">2024-01-19T16:19:00Z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