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mc:AlternateContent>
          <mc:Choice Requires="wpg">
            <w:drawing>
              <wp:anchor allowOverlap="1" behindDoc="0" distB="80010" distT="80010" distL="80010" distR="80010" hidden="0" layoutInCell="1" locked="0" relativeHeight="0" simplePos="0">
                <wp:simplePos x="0" y="0"/>
                <wp:positionH relativeFrom="page">
                  <wp:posOffset>2634933</wp:posOffset>
                </wp:positionH>
                <wp:positionV relativeFrom="page">
                  <wp:posOffset>1475106</wp:posOffset>
                </wp:positionV>
                <wp:extent cx="3943985" cy="3563303"/>
                <wp:effectExtent b="0" l="0" r="0" t="0"/>
                <wp:wrapNone/>
                <wp:docPr descr="Text Box 2" id="1" name=""/>
                <a:graphic>
                  <a:graphicData uri="http://schemas.microsoft.com/office/word/2010/wordprocessingShape">
                    <wps:wsp>
                      <wps:cNvSpPr/>
                      <wps:cNvPr id="2" name="Shape 2"/>
                      <wps:spPr>
                        <a:xfrm>
                          <a:off x="3378770" y="2003111"/>
                          <a:ext cx="3934460" cy="355377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Renforcer les compétences multilingues par le sports</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Manuel de formation pour adultes</w:t>
                            </w:r>
                          </w:p>
                        </w:txbxContent>
                      </wps:txbx>
                      <wps:bodyPr anchorCtr="0" anchor="t" bIns="45700" lIns="45700" spcFirstLastPara="1" rIns="45700" wrap="square" tIns="45700">
                        <a:noAutofit/>
                      </wps:bodyPr>
                    </wps:wsp>
                  </a:graphicData>
                </a:graphic>
              </wp:anchor>
            </w:drawing>
          </mc:Choice>
          <mc:Fallback>
            <w:drawing>
              <wp:anchor allowOverlap="1" behindDoc="0" distB="80010" distT="80010" distL="80010" distR="80010" hidden="0" layoutInCell="1" locked="0" relativeHeight="0" simplePos="0">
                <wp:simplePos x="0" y="0"/>
                <wp:positionH relativeFrom="page">
                  <wp:posOffset>2634933</wp:posOffset>
                </wp:positionH>
                <wp:positionV relativeFrom="page">
                  <wp:posOffset>1475106</wp:posOffset>
                </wp:positionV>
                <wp:extent cx="3943985" cy="3563303"/>
                <wp:effectExtent b="0" l="0" r="0" t="0"/>
                <wp:wrapNone/>
                <wp:docPr descr="Text Box 2" id="1" name="image3.png"/>
                <a:graphic>
                  <a:graphicData uri="http://schemas.openxmlformats.org/drawingml/2006/picture">
                    <pic:pic>
                      <pic:nvPicPr>
                        <pic:cNvPr descr="Text Box 2" id="0" name="image3.png"/>
                        <pic:cNvPicPr preferRelativeResize="0"/>
                      </pic:nvPicPr>
                      <pic:blipFill>
                        <a:blip r:embed="rId7"/>
                        <a:srcRect/>
                        <a:stretch>
                          <a:fillRect/>
                        </a:stretch>
                      </pic:blipFill>
                      <pic:spPr>
                        <a:xfrm>
                          <a:off x="0" y="0"/>
                          <a:ext cx="3943985" cy="3563303"/>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57150" distT="57150" distL="57150" distR="57150" hidden="0" layoutInCell="1" locked="0" relativeHeight="0" simplePos="0">
            <wp:simplePos x="0" y="0"/>
            <wp:positionH relativeFrom="page">
              <wp:posOffset>-18413</wp:posOffset>
            </wp:positionH>
            <wp:positionV relativeFrom="page">
              <wp:posOffset>-39368</wp:posOffset>
            </wp:positionV>
            <wp:extent cx="7625716" cy="10782300"/>
            <wp:effectExtent b="0" l="0" r="0" t="0"/>
            <wp:wrapSquare wrapText="bothSides" distB="57150" distT="57150" distL="57150" distR="57150"/>
            <wp:docPr descr="Shape&#10;&#10;Description automatically generated" id="3" name="image1.png"/>
            <a:graphic>
              <a:graphicData uri="http://schemas.openxmlformats.org/drawingml/2006/picture">
                <pic:pic>
                  <pic:nvPicPr>
                    <pic:cNvPr descr="Shape&#10;&#10;Description automatically generated" id="0" name="image1.png"/>
                    <pic:cNvPicPr preferRelativeResize="0"/>
                  </pic:nvPicPr>
                  <pic:blipFill>
                    <a:blip r:embed="rId8"/>
                    <a:srcRect b="0" l="0" r="0" t="0"/>
                    <a:stretch>
                      <a:fillRect/>
                    </a:stretch>
                  </pic:blipFill>
                  <pic:spPr>
                    <a:xfrm>
                      <a:off x="0" y="0"/>
                      <a:ext cx="7625716" cy="107823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Heading2"/>
        <w:tabs>
          <w:tab w:val="left" w:leader="none" w:pos="5341"/>
        </w:tabs>
        <w:jc w:val="center"/>
        <w:rPr>
          <w:rFonts w:ascii="Bebas Neue" w:cs="Bebas Neue" w:eastAsia="Bebas Neue" w:hAnsi="Bebas Neue"/>
          <w:color w:val="f5b335"/>
          <w:sz w:val="48"/>
          <w:szCs w:val="48"/>
          <w:u w:val="none"/>
        </w:rPr>
      </w:pPr>
      <w:r w:rsidDel="00000000" w:rsidR="00000000" w:rsidRPr="00000000">
        <w:rPr>
          <w:rFonts w:ascii="Bebas Neue" w:cs="Bebas Neue" w:eastAsia="Bebas Neue" w:hAnsi="Bebas Neue"/>
          <w:color w:val="f5b335"/>
          <w:sz w:val="48"/>
          <w:szCs w:val="48"/>
          <w:u w:val="none"/>
          <w:rtl w:val="0"/>
        </w:rPr>
        <w:t xml:space="preserve">Ressources de micro-apprentissage pour réinsérer les apprenants adultes peu qualifiés dans l'éducation et la formation</w:t>
      </w:r>
    </w:p>
    <w:p w:rsidR="00000000" w:rsidDel="00000000" w:rsidP="00000000" w:rsidRDefault="00000000" w:rsidRPr="00000000" w14:paraId="00000003">
      <w:pPr>
        <w:pStyle w:val="Heading2"/>
        <w:tabs>
          <w:tab w:val="left" w:leader="none" w:pos="5341"/>
        </w:tabs>
        <w:rPr>
          <w:color w:val="1f2126"/>
          <w:sz w:val="36"/>
          <w:szCs w:val="36"/>
          <w:u w:val="none"/>
        </w:rPr>
      </w:pPr>
      <w:r w:rsidDel="00000000" w:rsidR="00000000" w:rsidRPr="00000000">
        <w:rPr>
          <w:rFonts w:ascii="Quattrocento Sans" w:cs="Quattrocento Sans" w:eastAsia="Quattrocento Sans" w:hAnsi="Quattrocento Sans"/>
          <w:b w:val="1"/>
          <w:color w:val="1f2126"/>
          <w:sz w:val="36"/>
          <w:szCs w:val="36"/>
          <w:u w:val="none"/>
          <w:rtl w:val="0"/>
        </w:rPr>
        <w:t xml:space="preserve">Manuel de formation pour adulte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Plan de leçon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L'objectif de ce petit manuel est de vous aider, en tant qu'éducateur expérimenté travaillant avec des apprenants adultes peu qualifiés et marginalisés, ayant des besoins divers, à utiliser les ressources vidéo et les fiches d'activité fournies dans la série de ressources de micro-apprentissage pour réinsérer les apprenants adultes peu qualifiés dans votre centre et dans votre communauté.  Ce petit manuel vous fournira des informations générales sur le sujet abordé dans la ressource vidéo et des conseils pour vous aider à introduire et à mettre en œuvre l'activité d'accompagnement avec les apprenants adultes de votre groupe.  L'activité qui a été développée pour accompagner les ressources vidéo a pour but d'approfondir leur compréhension du sujet abordé dans la ressource vidéo. Enfin, ce manuel vous présentera également des questions de débriefing que vous pourrez utiliser dans votre groupe d'apprenants adultes pour évaluer la convivialité et la qualité de l'activité que vous avez réalisée avec eux.</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sujet de ce manuel est lié aux ressources vidéo</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Construire des compétences multilingues par le biais du sport et des loisirs.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Quattrocento Sans" w:cs="Quattrocento Sans" w:eastAsia="Quattrocento Sans" w:hAnsi="Quattrocento Sans"/>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Présentation du sujet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L'utilisation du sport et des loisirs d'une personne est un moyen fantastique d'enseigner les compétences linguistiques, en particulier aux apprenants qui peuvent manquer de confiance dans ce domaine. Tout au long des ressources One-Step Up, les apprenants peuvent découvrir comment ces supports d'apprentissage peuvent avoir un impact positif sur leurs compétences multilingues et comment ils peuvent les utiliser pour se sentir plus confiants dans leurs capacités. Ainsi, qu'ils soient amateurs de danse, fans de musique ou sportifs en herbe, ils peuvent être guidés pour découvrir comment différentes formes de sports et de loisirs peuvent être utilisées pour améliorer leurs compétences linguistiques.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Présentation de l’activité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À l'aide de l'étude de cas </w:t>
      </w:r>
      <w:r w:rsidDel="00000000" w:rsidR="00000000" w:rsidRPr="00000000">
        <w:rPr>
          <w:rFonts w:ascii="Quattrocento Sans" w:cs="Quattrocento Sans" w:eastAsia="Quattrocento Sans" w:hAnsi="Quattrocento Sans"/>
          <w:b w:val="0"/>
          <w:i w:val="1"/>
          <w:smallCaps w:val="0"/>
          <w:strike w:val="0"/>
          <w:color w:val="000000"/>
          <w:sz w:val="24"/>
          <w:szCs w:val="24"/>
          <w:u w:val="none"/>
          <w:shd w:fill="auto" w:val="clear"/>
          <w:vertAlign w:val="baseline"/>
          <w:rtl w:val="0"/>
        </w:rPr>
        <w:t xml:space="preserve">Coláiste Uisce</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 les apprenants découvrent une étude de cas innovante et inclusive d'une initiative irlandaise qui promeut l'apprentissage des langues par le biais du sport et des passe-temps. Il s'agit d'un exemple d'initiative visant à aider les jeunes à améliorer leurs compétences multilingues dans un environnement amusant et détendu, dans lequel ils se sentent à l'aise. Les apprenants ont également la possibilité d'essayer l'activité "Language Olympics" qui les encourage à utiliser leurs compétences multilingues tout en essayant différents sports tels que le tennis, le football, le basket-ball et le badminton. Cette activité démontrera que faire du sport et pratiquer ses compétences linguistiques peut être amusant et engageant.</w:t>
      </w:r>
      <w:r w:rsidDel="00000000" w:rsidR="00000000" w:rsidRPr="00000000">
        <w:rPr>
          <w:rtl w:val="0"/>
        </w:rPr>
      </w:r>
    </w:p>
    <w:p w:rsidR="00000000" w:rsidDel="00000000" w:rsidP="00000000" w:rsidRDefault="00000000" w:rsidRPr="00000000" w14:paraId="0000000E">
      <w:pPr>
        <w:pStyle w:val="Heading2"/>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F">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Utiliser cette ressource avec un groupe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Pour utiliser cette ressource avec les apprenants adultes de votre groupe local, nous vous recommandons de commencer par leur montrer la ressource vidéo pour introduire le thème du développement des compétences multilingues par le biais des sports et des loisirs. Cette vidéo aidera les apprenants à comprendre le sujet avant de commencer l'activité du guide de l'apprenant. Une fois qu'ils auront acquis une connaissance générale du thème, ils pourront commencer le polycopié. Pour cela, nous vous recommandons d'imprimer un polycopié par apprenant. Tout ce dont les apprenants ont besoin pour cette ressource est un stylo pour compléter le polycopié de l'apprenant et un ordinateur pour visionner la vidéo. Il faut compter une heure pour compléter cette ressource. Pour évaluer les connaissances des apprenants, nous suggérons de terminer la session par le quiz </w:t>
      </w:r>
      <w:r w:rsidDel="00000000" w:rsidR="00000000" w:rsidRPr="00000000">
        <w:rPr>
          <w:rFonts w:ascii="Quattrocento Sans" w:cs="Quattrocento Sans" w:eastAsia="Quattrocento Sans" w:hAnsi="Quattrocento Sans"/>
          <w:b w:val="0"/>
          <w:i w:val="1"/>
          <w:smallCaps w:val="0"/>
          <w:strike w:val="0"/>
          <w:color w:val="000000"/>
          <w:sz w:val="24"/>
          <w:szCs w:val="24"/>
          <w:u w:val="none"/>
          <w:shd w:fill="auto" w:val="clear"/>
          <w:vertAlign w:val="baseline"/>
          <w:rtl w:val="0"/>
        </w:rPr>
        <w:t xml:space="preserve">Construire ses compétences multilingues par le sport et les loisirs.</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 Cela peut aider les apprenants à évaluer ce qu'ils ont appris grâce aux ressources ONE-STEP UP.</w:t>
      </w:r>
      <w:r w:rsidDel="00000000" w:rsidR="00000000" w:rsidRPr="00000000">
        <w:rPr>
          <w:rtl w:val="0"/>
        </w:rPr>
      </w:r>
    </w:p>
    <w:p w:rsidR="00000000" w:rsidDel="00000000" w:rsidP="00000000" w:rsidRDefault="00000000" w:rsidRPr="00000000" w14:paraId="00000011">
      <w:pPr>
        <w:pStyle w:val="Heading2"/>
        <w:rPr>
          <w:color w:val="000000"/>
          <w:sz w:val="24"/>
          <w:szCs w:val="24"/>
          <w:u w:val="none"/>
        </w:rPr>
      </w:pPr>
      <w:r w:rsidDel="00000000" w:rsidR="00000000" w:rsidRPr="00000000">
        <w:rPr>
          <w:rtl w:val="0"/>
        </w:rPr>
      </w:r>
    </w:p>
    <w:p w:rsidR="00000000" w:rsidDel="00000000" w:rsidP="00000000" w:rsidRDefault="00000000" w:rsidRPr="00000000" w14:paraId="00000012">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Questions de débriefing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Voici quelques questions de débriefing auxquelles les participants pourront réfléchir après avoir terminé l'étude de cas et l'activité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74" w:right="0" w:hanging="17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Qu'avez-vous appris sur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Colaiste Uisce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74" w:right="0" w:hanging="17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Selon vous, quelle est la clé de leur succès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74" w:right="0" w:hanging="17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Quel est le principal enseignement que vous tirerez de cette étude de cas et de cette activité ? Comment allez-vous l'appliquer à votre vie ou à votre travail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74" w:right="0" w:hanging="17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Comment avez-vous trouvé l'activité des "Olympiades linguistiques" ? L'avez-vous trouvée utile pour améliorer vos compétences linguistiques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74" w:right="0" w:hanging="17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Comment pensez-vous que le sport et les loisirs peuvent être intégrés dans le système éducatif traditionnel ou dans un programme de formation pour améliorer les compétences linguistiques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Pr>
        <w:drawing>
          <wp:anchor allowOverlap="1" behindDoc="0" distB="57150" distT="57150" distL="57150" distR="57150" hidden="0" layoutInCell="1" locked="0" relativeHeight="0" simplePos="0">
            <wp:simplePos x="0" y="0"/>
            <wp:positionH relativeFrom="page">
              <wp:posOffset>0</wp:posOffset>
            </wp:positionH>
            <wp:positionV relativeFrom="page">
              <wp:posOffset>-17144</wp:posOffset>
            </wp:positionV>
            <wp:extent cx="7625716" cy="10765156"/>
            <wp:effectExtent b="0" l="0" r="0" t="0"/>
            <wp:wrapSquare wrapText="bothSides" distB="57150" distT="57150" distL="57150" distR="57150"/>
            <wp:docPr descr="Timeline&#10;&#10;Description automatically generated" id="2" name="image2.png"/>
            <a:graphic>
              <a:graphicData uri="http://schemas.openxmlformats.org/drawingml/2006/picture">
                <pic:pic>
                  <pic:nvPicPr>
                    <pic:cNvPr descr="Timeline&#10;&#10;Description automatically generated" id="0" name="image2.png"/>
                    <pic:cNvPicPr preferRelativeResize="0"/>
                  </pic:nvPicPr>
                  <pic:blipFill>
                    <a:blip r:embed="rId9"/>
                    <a:srcRect b="0" l="0" r="0" t="0"/>
                    <a:stretch>
                      <a:fillRect/>
                    </a:stretch>
                  </pic:blipFill>
                  <pic:spPr>
                    <a:xfrm>
                      <a:off x="0" y="0"/>
                      <a:ext cx="7625716" cy="10765156"/>
                    </a:xfrm>
                    <a:prstGeom prst="rect"/>
                    <a:ln/>
                  </pic:spPr>
                </pic:pic>
              </a:graphicData>
            </a:graphic>
          </wp:anchor>
        </w:drawing>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w:t>
      </w:r>
      <w:r w:rsidDel="00000000" w:rsidR="00000000" w:rsidRPr="00000000">
        <w:rPr>
          <w:rtl w:val="0"/>
        </w:rPr>
      </w:r>
    </w:p>
    <w:sectPr>
      <w:headerReference r:id="rId10" w:type="default"/>
      <w:headerReference r:id="rId11" w:type="first"/>
      <w:footerReference r:id="rId12" w:type="default"/>
      <w:footerReference r:id="rId13" w:type="first"/>
      <w:pgSz w:h="16840" w:w="11900"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ebas Neue">
    <w:embedRegular w:fontKey="{00000000-0000-0000-0000-000000000000}" r:id="rId1" w:subsetted="0"/>
  </w:font>
  <w:font w:name="Quattrocento Sans">
    <w:embedBold w:fontKey="{00000000-0000-0000-0000-000000000000}" r:id="rId2" w:subsetted="0"/>
    <w:embedBoldItalic w:fontKey="{00000000-0000-0000-0000-000000000000}" r:id="rId3" w:subsetted="0"/>
  </w:font>
  <w:font w:name="Helvetica Neue">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74" w:hanging="174"/>
      </w:pPr>
      <w:rPr>
        <w:smallCaps w:val="0"/>
        <w:strike w:val="0"/>
        <w:shd w:fill="auto" w:val="clear"/>
        <w:vertAlign w:val="baseline"/>
      </w:rPr>
    </w:lvl>
    <w:lvl w:ilvl="1">
      <w:start w:val="1"/>
      <w:numFmt w:val="bullet"/>
      <w:lvlText w:val="•"/>
      <w:lvlJc w:val="left"/>
      <w:pPr>
        <w:ind w:left="774" w:hanging="173.9999999999999"/>
      </w:pPr>
      <w:rPr>
        <w:smallCaps w:val="0"/>
        <w:strike w:val="0"/>
        <w:shd w:fill="auto" w:val="clear"/>
        <w:vertAlign w:val="baseline"/>
      </w:rPr>
    </w:lvl>
    <w:lvl w:ilvl="2">
      <w:start w:val="1"/>
      <w:numFmt w:val="bullet"/>
      <w:lvlText w:val="•"/>
      <w:lvlJc w:val="left"/>
      <w:pPr>
        <w:ind w:left="1374" w:hanging="174"/>
      </w:pPr>
      <w:rPr>
        <w:smallCaps w:val="0"/>
        <w:strike w:val="0"/>
        <w:shd w:fill="auto" w:val="clear"/>
        <w:vertAlign w:val="baseline"/>
      </w:rPr>
    </w:lvl>
    <w:lvl w:ilvl="3">
      <w:start w:val="1"/>
      <w:numFmt w:val="bullet"/>
      <w:lvlText w:val="•"/>
      <w:lvlJc w:val="left"/>
      <w:pPr>
        <w:ind w:left="1974" w:hanging="174"/>
      </w:pPr>
      <w:rPr>
        <w:smallCaps w:val="0"/>
        <w:strike w:val="0"/>
        <w:shd w:fill="auto" w:val="clear"/>
        <w:vertAlign w:val="baseline"/>
      </w:rPr>
    </w:lvl>
    <w:lvl w:ilvl="4">
      <w:start w:val="1"/>
      <w:numFmt w:val="bullet"/>
      <w:lvlText w:val="•"/>
      <w:lvlJc w:val="left"/>
      <w:pPr>
        <w:ind w:left="2574" w:hanging="174.00000000000045"/>
      </w:pPr>
      <w:rPr>
        <w:smallCaps w:val="0"/>
        <w:strike w:val="0"/>
        <w:shd w:fill="auto" w:val="clear"/>
        <w:vertAlign w:val="baseline"/>
      </w:rPr>
    </w:lvl>
    <w:lvl w:ilvl="5">
      <w:start w:val="1"/>
      <w:numFmt w:val="bullet"/>
      <w:lvlText w:val="•"/>
      <w:lvlJc w:val="left"/>
      <w:pPr>
        <w:ind w:left="3174" w:hanging="174"/>
      </w:pPr>
      <w:rPr>
        <w:smallCaps w:val="0"/>
        <w:strike w:val="0"/>
        <w:shd w:fill="auto" w:val="clear"/>
        <w:vertAlign w:val="baseline"/>
      </w:rPr>
    </w:lvl>
    <w:lvl w:ilvl="6">
      <w:start w:val="1"/>
      <w:numFmt w:val="bullet"/>
      <w:lvlText w:val="•"/>
      <w:lvlJc w:val="left"/>
      <w:pPr>
        <w:ind w:left="3774" w:hanging="174"/>
      </w:pPr>
      <w:rPr>
        <w:smallCaps w:val="0"/>
        <w:strike w:val="0"/>
        <w:shd w:fill="auto" w:val="clear"/>
        <w:vertAlign w:val="baseline"/>
      </w:rPr>
    </w:lvl>
    <w:lvl w:ilvl="7">
      <w:start w:val="1"/>
      <w:numFmt w:val="bullet"/>
      <w:lvlText w:val="•"/>
      <w:lvlJc w:val="left"/>
      <w:pPr>
        <w:ind w:left="4374" w:hanging="174"/>
      </w:pPr>
      <w:rPr>
        <w:smallCaps w:val="0"/>
        <w:strike w:val="0"/>
        <w:shd w:fill="auto" w:val="clear"/>
        <w:vertAlign w:val="baseline"/>
      </w:rPr>
    </w:lvl>
    <w:lvl w:ilvl="8">
      <w:start w:val="1"/>
      <w:numFmt w:val="bullet"/>
      <w:lvlText w:val="•"/>
      <w:lvlJc w:val="left"/>
      <w:pPr>
        <w:ind w:left="4974" w:hanging="174"/>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pPr>
    <w:rPr>
      <w:rFonts w:ascii="Calibri" w:cs="Calibri" w:eastAsia="Calibri" w:hAnsi="Calibri"/>
      <w:b w:val="0"/>
      <w:i w:val="0"/>
      <w:smallCaps w:val="0"/>
      <w:strike w:val="0"/>
      <w:color w:val="ffc000"/>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bold.ttf"/><Relationship Id="rId3" Type="http://schemas.openxmlformats.org/officeDocument/2006/relationships/font" Target="fonts/QuattrocentoSans-boldItalic.ttf"/><Relationship Id="rId4" Type="http://schemas.openxmlformats.org/officeDocument/2006/relationships/font" Target="fonts/HelveticaNeue-regular.ttf"/><Relationship Id="rId5" Type="http://schemas.openxmlformats.org/officeDocument/2006/relationships/font" Target="fonts/HelveticaNeue-bold.ttf"/><Relationship Id="rId6" Type="http://schemas.openxmlformats.org/officeDocument/2006/relationships/font" Target="fonts/HelveticaNeue-italic.ttf"/><Relationship Id="rId7"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Qk/OuS90lk1wde8dGgilIP/6aw==">CgMxLjA4AHIhMVJVZTVyU0NCVnJaYzY2VVJiU0dCTkRLRHMzZG1SZlRI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