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900"/>
        </w:tabs>
        <w:jc w:val="center"/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14:textFill>
            <w14:solidFill>
              <w14:srgbClr w14:val="F5B335"/>
            </w14:solidFill>
          </w14:textFill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-18412</wp:posOffset>
            </wp:positionH>
            <wp:positionV relativeFrom="page">
              <wp:posOffset>-39368</wp:posOffset>
            </wp:positionV>
            <wp:extent cx="7625716" cy="10782300"/>
            <wp:effectExtent l="0" t="0" r="0" b="0"/>
            <wp:wrapSquare wrapText="bothSides" distL="57150" distR="57150" distT="57150" distB="57150"/>
            <wp:docPr id="1073741825" name="officeArt object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" descr="Shap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6" cy="1078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Ressources de micro-apprentissage pour r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14:textFill>
            <w14:solidFill>
              <w14:srgbClr w14:val="F5B335"/>
            </w14:solidFill>
          </w14:textFill>
        </w:rPr>
        <w:t>ins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rer les apprenants adultes peu qualifi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s dans l'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ducation et la formation</w:t>
      </w:r>
    </w:p>
    <w:p>
      <w:pPr>
        <w:pStyle w:val="Heading 2"/>
        <w:tabs>
          <w:tab w:val="left" w:pos="5341"/>
        </w:tabs>
        <w:spacing w:line="360" w:lineRule="auto"/>
        <w:rPr>
          <w:rFonts w:ascii="Quattrocento Sans" w:cs="Quattrocento Sans" w:hAnsi="Quattrocento Sans" w:eastAsia="Quattrocento Sans"/>
          <w:b w:val="1"/>
          <w:bCs w:val="1"/>
          <w:outline w:val="0"/>
          <w:color w:val="1f2126"/>
          <w:sz w:val="36"/>
          <w:szCs w:val="36"/>
          <w:u w:color="1f2126"/>
          <w14:textFill>
            <w14:solidFill>
              <w14:srgbClr w14:val="1F2126"/>
            </w14:solidFill>
          </w14:textFill>
        </w:rPr>
      </w:pPr>
      <w:r>
        <w:rPr>
          <w:rFonts w:ascii="Quattrocento Sans" w:cs="Quattrocento Sans" w:hAnsi="Quattrocento Sans" w:eastAsia="Quattrocento Sans"/>
          <w:b w:val="1"/>
          <w:bCs w:val="1"/>
          <w:outline w:val="0"/>
          <w:color w:val="1f2126"/>
          <w:sz w:val="36"/>
          <w:szCs w:val="36"/>
          <w:u w:color="1f2126"/>
          <w:rtl w:val="0"/>
          <w:lang w:val="fr-FR"/>
          <w14:textFill>
            <w14:solidFill>
              <w14:srgbClr w14:val="1F2126"/>
            </w14:solidFill>
          </w14:textFill>
        </w:rPr>
        <w:t>Manuel du formateur pour adultes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Plan de le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ç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on</w:t>
      </w:r>
    </w:p>
    <w:p>
      <w:pPr>
        <w:pStyle w:val="Body"/>
        <w:spacing w:line="360" w:lineRule="auto"/>
        <w:jc w:val="both"/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L'objectif de ce petit manuel est de vous aider, en tant qu'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ducateur exp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riment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travaillant avec des apprenants adultes peu qualifi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et marginalis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s, ayant des besoins divers,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utiliser les ressources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 et les fiches d'activit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fournies dans la Suite de ressources de micro-apprentissage pour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ins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re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 les apprenants adultes peu qualifi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dans votre centre et dans votre communaut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.  Ce petit manuel vous fournira des informations g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rales sur le sujet abord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dans la ressource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o et des conseils pour vous aider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introduire et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mettre en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œ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uvre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d'accompagnement avec les apprenants adultes de votre groupe. 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qui a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velopp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 pour accompagner les ressources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 a pour but d'ap</w: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1334775</wp:posOffset>
                </wp:positionH>
                <wp:positionV relativeFrom="page">
                  <wp:posOffset>1498964</wp:posOffset>
                </wp:positionV>
                <wp:extent cx="5410238" cy="4743266"/>
                <wp:effectExtent l="0" t="0" r="0" b="0"/>
                <wp:wrapSquare wrapText="bothSides" distL="80010" distR="80010" distT="80010" distB="80010"/>
                <wp:docPr id="1073741826" name="officeArt object" descr="Renforcer les compétences numériques grâce aux médias numériques et sociaux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38" cy="47432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Renforcer les comp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tences num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riques gr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â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ce aux m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pt-PT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dias num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riques et sociaux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64"/>
                                <w:szCs w:val="64"/>
                                <w:u w:color="000000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Manuel d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64"/>
                                <w:szCs w:val="6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64"/>
                                <w:szCs w:val="64"/>
                                <w:u w:color="000000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formateur pour adultes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5.1pt;margin-top:118.0pt;width:426.0pt;height:373.5pt;z-index:251660288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Renforcer les comp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tences num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riques gr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â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ce aux m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pt-PT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dias num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riques et sociaux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64"/>
                          <w:szCs w:val="64"/>
                          <w:u w:color="000000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Manuel d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64"/>
                          <w:szCs w:val="6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64"/>
                          <w:szCs w:val="64"/>
                          <w:u w:color="000000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formateur pour adultes 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profondir leur compr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hension du sujet abord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dans la ressource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o. Enfin, ce manuel vous 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 xml:space="preserve">sentera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galement des questions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briefing que vous pourrez utiliser dans votre groupe d'apprenants adultes pour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valuer la convivialit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et la qualit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que vous avez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alis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 avec eux.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sujet de ce manuel est li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aux ressources 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Construire des comp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 xml:space="preserve">riques 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travers les 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pt-PT"/>
        </w:rPr>
        <w:t>dias num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riques et sociaux.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sentation du sujet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Dans le monde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 d'aujourd'hui, il est de plus en plus important d'acqu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rir des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 par l'utilisation de plateformes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 et de 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dias sociaux. Ces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tences englobent un large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ventail d'aptitudes, notamment la navigation dans des environnements en ligne, la communication efficace par le biais de canaux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 et l'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valuation critique des informations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riques. En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veloppant des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riques, les apprenants peuvent naviguer en toute confiance dans les vastes informations disponibles en ligne, s'adapter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volution des technologies, am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liorer leurs perspectives d'emploi et s'engager efficacement dans diverses communaut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en ligne. En outre, les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 permettent aux apprenants d'exploiter la puissance des 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dias sociaux en tant qu'outil de mise en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seau, de collaboration et de partage des connaissances.</w:t>
      </w:r>
    </w:p>
    <w:p>
      <w:pPr>
        <w:pStyle w:val="Heading 2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sentation de 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’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 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En utilisant l'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tude de cas d'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en-US"/>
        </w:rPr>
        <w:t>An Cos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</w:rPr>
        <w:t>á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</w:rPr>
        <w:t>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, les apprenants sont introduits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un programme innovant et inclusif qui vise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aider les apprenants de tous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â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ges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am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liorer leurs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 d'une mani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re et dans un environnement qui leur conviennent. Les apprenants auront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galement l'occasion de participer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 xml:space="preserve"> "Tracez votre empreinte num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rique"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, qui leur permettra d'explorer les informations facilement accessibles sur eux-m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ê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mes sur Internet. Cette 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vise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encourager les apprenants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prendre conscience de l'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tendue de leur 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sence en ligne et des informations que l'on peut facilement trouver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leur sujet.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</w:p>
    <w:p>
      <w:pPr>
        <w:pStyle w:val="Heading 2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Utiliser cette ressource avec un groupe</w:t>
      </w:r>
    </w:p>
    <w:p>
      <w:pPr>
        <w:pStyle w:val="Body"/>
        <w:shd w:val="clear" w:color="auto" w:fill="ffffff"/>
        <w:spacing w:after="225" w:line="360" w:lineRule="auto"/>
        <w:jc w:val="both"/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utiliser cette ressource avec les apprenants adultes de votre groupe local, nous vous recommandons de commencer par leur montrer la ressource vid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 pour introduire le th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du "d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veloppement des comp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 num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riques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travers les r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seaux num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riques et les m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dias sociaux". Cette vid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 aidera les apprenants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comprendre le sujet avant de commencer l'activit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 Document de l'apprenant. Une fois qu'ils auront acquis une connaissance g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rale du th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me, ils pourront commencer le polycopi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l'apprenant. Pour cela, nous vous recommandons d'imprimer un polycopi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apprenant. Tout ce dont les apprenants ont besoin pour cette ressource est un stylo pour remplir le document de l'apprenant et un ordinateur pour visionner la vid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o. Il faut compter une heure pour compl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ter cette ressource. Pour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valuer les connaissances des apprenants, nous sugg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rons de terminer la session par le quiz "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Renforcer les comp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riques gr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</w:rPr>
        <w:t>â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ce aux r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seaux sociaux et aux 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pt-PT"/>
        </w:rPr>
        <w:t>dias num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riques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". Cela peut aider les apprenants 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 é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valuer ce qu'ils ont appris gr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aux ressources ONE-STEP UP.</w:t>
      </w:r>
    </w:p>
    <w:p>
      <w:pPr>
        <w:pStyle w:val="Heading 2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Questions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nl-NL"/>
        </w:rPr>
        <w:t>briefing</w:t>
      </w:r>
    </w:p>
    <w:p>
      <w:pPr>
        <w:pStyle w:val="Body"/>
        <w:spacing w:line="360" w:lineRule="auto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Voici quelques questions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briefing auxquelles les participants peuvent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fl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chir apr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avoir termin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tude de cas et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: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Qu'avez-vous appris sur le programme 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en-US"/>
        </w:rPr>
        <w:t>An Cos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</w:rPr>
        <w:t>á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</w:rPr>
        <w:t>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zh-TW" w:eastAsia="zh-TW"/>
        </w:rPr>
        <w:t xml:space="preserve"> 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Selon vous, quelle est la cl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son succ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zh-TW" w:eastAsia="zh-TW"/>
        </w:rPr>
        <w:t>s 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Quel est le principal enseignement que vous tirerez de cette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tude de cas et de cette 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? Comment allez-vous l'appliquer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votre vie ou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votre travail 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Comment avez-vous trouv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ru-RU"/>
        </w:rPr>
        <w:t>"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Tracez votre empreinte num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sz w:val="24"/>
          <w:szCs w:val="24"/>
          <w:rtl w:val="0"/>
          <w:lang w:val="fr-FR"/>
        </w:rPr>
        <w:t>rique"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 ? L'avez-vous trouv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 utile pour am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liorer vos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riques 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Comment pensez-vous que les 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pt-PT"/>
        </w:rPr>
        <w:t>dias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riques et sociaux peuvent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ê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tre int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gr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dans le syst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me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ducatif traditionnel ou dans les programmes de formation afin d'am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liorer la culture num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rique ?</w:t>
      </w:r>
    </w:p>
    <w:p>
      <w:pPr>
        <w:pStyle w:val="Body"/>
        <w:spacing w:line="360" w:lineRule="auto"/>
      </w:pPr>
    </w:p>
    <w:p>
      <w:pPr>
        <w:pStyle w:val="Body"/>
      </w:pPr>
    </w:p>
    <w:p>
      <w:pPr>
        <w:pStyle w:val="Body"/>
        <w:jc w:val="center"/>
      </w:pPr>
      <w:r>
        <w:rPr>
          <w:rFonts w:ascii="Source Sans Pro" w:cs="Source Sans Pro" w:hAnsi="Source Sans Pro" w:eastAsia="Source Sans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-17143</wp:posOffset>
            </wp:positionV>
            <wp:extent cx="7625716" cy="10765156"/>
            <wp:effectExtent l="0" t="0" r="0" b="0"/>
            <wp:wrapSquare wrapText="bothSides" distL="57150" distR="57150" distT="57150" distB="57150"/>
            <wp:docPr id="1073741827" name="officeArt object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imelineDescription automatically generated" descr="Timelin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6" cy="1076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ource Sans Pro" w:cs="Source Sans Pro" w:hAnsi="Source Sans Pro" w:eastAsia="Source Sans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40" w:right="1440" w:bottom="1440" w:left="1440" w:header="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ebas Neue">
    <w:charset w:val="00"/>
    <w:family w:val="roman"/>
    <w:pitch w:val="default"/>
  </w:font>
  <w:font w:name="Calibri Light">
    <w:charset w:val="00"/>
    <w:family w:val="roman"/>
    <w:pitch w:val="default"/>
  </w:font>
  <w:font w:name="Quattrocento Sans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c000"/>
      <w:spacing w:val="0"/>
      <w:kern w:val="0"/>
      <w:position w:val="0"/>
      <w:sz w:val="26"/>
      <w:szCs w:val="26"/>
      <w:u w:val="none" w:color="ffc000"/>
      <w:shd w:val="nil" w:color="auto" w:fill="auto"/>
      <w:vertAlign w:val="baseline"/>
      <w:lang w:val="fr-FR"/>
      <w14:textOutline>
        <w14:noFill/>
      </w14:textOutline>
      <w14:textFill>
        <w14:solidFill>
          <w14:srgbClr w14:val="FFC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