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BF07" w14:textId="13C248AE" w:rsidR="00E330CC" w:rsidRDefault="00274CD3">
      <w:pPr>
        <w:tabs>
          <w:tab w:val="left" w:pos="900"/>
        </w:tabs>
      </w:pPr>
      <w:r>
        <w:rPr>
          <w:noProof/>
        </w:rPr>
        <mc:AlternateContent>
          <mc:Choice Requires="wps">
            <w:drawing>
              <wp:anchor distT="45720" distB="45720" distL="114300" distR="114300" simplePos="0" relativeHeight="251659264" behindDoc="0" locked="0" layoutInCell="1" hidden="0" allowOverlap="1" wp14:anchorId="51A6CCC5" wp14:editId="4346F021">
                <wp:simplePos x="0" y="0"/>
                <wp:positionH relativeFrom="column">
                  <wp:posOffset>2305050</wp:posOffset>
                </wp:positionH>
                <wp:positionV relativeFrom="paragraph">
                  <wp:posOffset>755650</wp:posOffset>
                </wp:positionV>
                <wp:extent cx="4025900" cy="375920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3759200"/>
                        </a:xfrm>
                        <a:prstGeom prst="rect">
                          <a:avLst/>
                        </a:prstGeom>
                        <a:noFill/>
                        <a:ln>
                          <a:noFill/>
                        </a:ln>
                      </wps:spPr>
                      <wps:txbx>
                        <w:txbxContent>
                          <w:p w14:paraId="489459BC" w14:textId="30AC39D2" w:rsidR="00E330CC" w:rsidRPr="00274CD3" w:rsidRDefault="00274CD3">
                            <w:pPr>
                              <w:spacing w:line="258" w:lineRule="auto"/>
                              <w:jc w:val="right"/>
                              <w:textDirection w:val="btLr"/>
                              <w:rPr>
                                <w:rFonts w:ascii="Bebas Neue" w:eastAsia="Bebas Neue" w:hAnsi="Bebas Neue" w:cs="Bebas Neue"/>
                                <w:color w:val="F5B335"/>
                                <w:sz w:val="72"/>
                                <w:lang w:val="fr-FR"/>
                              </w:rPr>
                            </w:pPr>
                            <w:r w:rsidRPr="00274CD3">
                              <w:rPr>
                                <w:rFonts w:ascii="Bebas Neue" w:eastAsia="Bebas Neue" w:hAnsi="Bebas Neue" w:cs="Bebas Neue"/>
                                <w:color w:val="F5B335"/>
                                <w:sz w:val="72"/>
                                <w:lang w:val="fr-FR"/>
                              </w:rPr>
                              <w:t>Compétence multilingue et disciplines culturelles</w:t>
                            </w:r>
                          </w:p>
                          <w:p w14:paraId="6C1862FD" w14:textId="77777777" w:rsidR="00274CD3" w:rsidRPr="00274CD3" w:rsidRDefault="00274CD3">
                            <w:pPr>
                              <w:spacing w:line="258" w:lineRule="auto"/>
                              <w:jc w:val="right"/>
                              <w:textDirection w:val="btLr"/>
                              <w:rPr>
                                <w:lang w:val="fr-FR"/>
                              </w:rPr>
                            </w:pPr>
                          </w:p>
                          <w:p w14:paraId="0DDAAD1C" w14:textId="77777777" w:rsidR="00274CD3" w:rsidRPr="00274CD3" w:rsidRDefault="00274CD3">
                            <w:pPr>
                              <w:spacing w:line="258" w:lineRule="auto"/>
                              <w:jc w:val="right"/>
                              <w:textDirection w:val="btLr"/>
                              <w:rPr>
                                <w:rFonts w:ascii="Bebas Neue" w:eastAsia="Bebas Neue" w:hAnsi="Bebas Neue" w:cs="Bebas Neue"/>
                                <w:color w:val="000000"/>
                                <w:sz w:val="64"/>
                                <w:lang w:val="fr-FR"/>
                              </w:rPr>
                            </w:pPr>
                            <w:r w:rsidRPr="00274CD3">
                              <w:rPr>
                                <w:rFonts w:ascii="Bebas Neue" w:eastAsia="Bebas Neue" w:hAnsi="Bebas Neue" w:cs="Bebas Neue"/>
                                <w:color w:val="000000"/>
                                <w:sz w:val="64"/>
                                <w:lang w:val="fr-FR"/>
                              </w:rPr>
                              <w:t>Manuel de l'éducateur d'adultes</w:t>
                            </w:r>
                          </w:p>
                          <w:p w14:paraId="7E43580F" w14:textId="0EEB87B4" w:rsidR="00E330CC" w:rsidRDefault="00E330CC">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A6CCC5" id="Rectangle 5" o:spid="_x0000_s1026" style="position:absolute;margin-left:181.5pt;margin-top:59.5pt;width:317pt;height:2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" filled="f" stroked="f">
                <v:textbox inset="2.53958mm,1.2694mm,2.53958mm,1.2694mm">
                  <w:txbxContent>
                    <w:p w14:paraId="489459BC" w14:textId="30AC39D2" w:rsidR="00E330CC" w:rsidRPr="00274CD3" w:rsidRDefault="00274CD3">
                      <w:pPr>
                        <w:spacing w:line="258" w:lineRule="auto"/>
                        <w:jc w:val="right"/>
                        <w:textDirection w:val="btLr"/>
                        <w:rPr>
                          <w:rFonts w:ascii="Bebas Neue" w:eastAsia="Bebas Neue" w:hAnsi="Bebas Neue" w:cs="Bebas Neue"/>
                          <w:color w:val="F5B335"/>
                          <w:sz w:val="72"/>
                          <w:lang w:val="fr-FR"/>
                        </w:rPr>
                      </w:pPr>
                      <w:r w:rsidRPr="00274CD3">
                        <w:rPr>
                          <w:rFonts w:ascii="Bebas Neue" w:eastAsia="Bebas Neue" w:hAnsi="Bebas Neue" w:cs="Bebas Neue"/>
                          <w:color w:val="F5B335"/>
                          <w:sz w:val="72"/>
                          <w:lang w:val="fr-FR"/>
                        </w:rPr>
                        <w:t>Compétence multilingue et disciplines culturelles</w:t>
                      </w:r>
                    </w:p>
                    <w:p w14:paraId="6C1862FD" w14:textId="77777777" w:rsidR="00274CD3" w:rsidRPr="00274CD3" w:rsidRDefault="00274CD3">
                      <w:pPr>
                        <w:spacing w:line="258" w:lineRule="auto"/>
                        <w:jc w:val="right"/>
                        <w:textDirection w:val="btLr"/>
                        <w:rPr>
                          <w:lang w:val="fr-FR"/>
                        </w:rPr>
                      </w:pPr>
                    </w:p>
                    <w:p w14:paraId="0DDAAD1C" w14:textId="77777777" w:rsidR="00274CD3" w:rsidRPr="00274CD3" w:rsidRDefault="00274CD3">
                      <w:pPr>
                        <w:spacing w:line="258" w:lineRule="auto"/>
                        <w:jc w:val="right"/>
                        <w:textDirection w:val="btLr"/>
                        <w:rPr>
                          <w:rFonts w:ascii="Bebas Neue" w:eastAsia="Bebas Neue" w:hAnsi="Bebas Neue" w:cs="Bebas Neue"/>
                          <w:color w:val="000000"/>
                          <w:sz w:val="64"/>
                          <w:lang w:val="fr-FR"/>
                        </w:rPr>
                      </w:pPr>
                      <w:r w:rsidRPr="00274CD3">
                        <w:rPr>
                          <w:rFonts w:ascii="Bebas Neue" w:eastAsia="Bebas Neue" w:hAnsi="Bebas Neue" w:cs="Bebas Neue"/>
                          <w:color w:val="000000"/>
                          <w:sz w:val="64"/>
                          <w:lang w:val="fr-FR"/>
                        </w:rPr>
                        <w:t>Manuel de l'éducateur d'adultes</w:t>
                      </w:r>
                    </w:p>
                    <w:p w14:paraId="7E43580F" w14:textId="0EEB87B4" w:rsidR="00E330CC" w:rsidRDefault="00E330CC">
                      <w:pPr>
                        <w:spacing w:line="258" w:lineRule="auto"/>
                        <w:jc w:val="right"/>
                        <w:textDirection w:val="btLr"/>
                      </w:pP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04EC9845" wp14:editId="6AE76A93">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4282794A" w14:textId="77777777" w:rsidR="00274CD3" w:rsidRDefault="00274CD3">
      <w:pPr>
        <w:pStyle w:val="Titre2"/>
        <w:tabs>
          <w:tab w:val="left" w:pos="5341"/>
        </w:tabs>
        <w:jc w:val="center"/>
        <w:rPr>
          <w:rFonts w:ascii="Bebas Neue" w:eastAsia="Bebas Neue" w:hAnsi="Bebas Neue" w:cs="Bebas Neue"/>
          <w:color w:val="F5B335"/>
          <w:sz w:val="48"/>
          <w:szCs w:val="48"/>
          <w:lang w:val="fr-FR"/>
        </w:rPr>
      </w:pPr>
      <w:r w:rsidRPr="00274CD3">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14:paraId="7FFE21F3" w14:textId="06F4534F" w:rsidR="00E330CC" w:rsidRDefault="00274CD3" w:rsidP="00274CD3">
      <w:pPr>
        <w:pStyle w:val="Titre2"/>
        <w:tabs>
          <w:tab w:val="left" w:pos="5341"/>
        </w:tabs>
        <w:rPr>
          <w:rFonts w:ascii="Quattrocento Sans" w:eastAsia="Quattrocento Sans" w:hAnsi="Quattrocento Sans" w:cs="Quattrocento Sans"/>
          <w:b/>
          <w:color w:val="1F2126"/>
          <w:sz w:val="36"/>
          <w:szCs w:val="36"/>
          <w:lang w:val="fr-FR"/>
        </w:rPr>
      </w:pPr>
      <w:r w:rsidRPr="00274CD3">
        <w:rPr>
          <w:rFonts w:ascii="Quattrocento Sans" w:eastAsia="Quattrocento Sans" w:hAnsi="Quattrocento Sans" w:cs="Quattrocento Sans"/>
          <w:b/>
          <w:color w:val="1F2126"/>
          <w:sz w:val="36"/>
          <w:szCs w:val="36"/>
          <w:lang w:val="fr-FR"/>
        </w:rPr>
        <w:t>Manuel de l'éducateur d'adultes</w:t>
      </w:r>
    </w:p>
    <w:p w14:paraId="5ADDE54C" w14:textId="77777777" w:rsidR="00274CD3" w:rsidRPr="00274CD3" w:rsidRDefault="00274CD3" w:rsidP="00274CD3">
      <w:pPr>
        <w:rPr>
          <w:lang w:val="fr-FR"/>
        </w:rPr>
      </w:pPr>
    </w:p>
    <w:p w14:paraId="53696707" w14:textId="2A71F8C6" w:rsidR="00E330CC" w:rsidRPr="00274CD3" w:rsidRDefault="00274CD3">
      <w:pPr>
        <w:spacing w:line="360" w:lineRule="auto"/>
        <w:jc w:val="both"/>
        <w:rPr>
          <w:rFonts w:ascii="Quattrocento Sans" w:eastAsia="Quattrocento Sans" w:hAnsi="Quattrocento Sans" w:cs="Quattrocento Sans"/>
          <w:color w:val="000000"/>
          <w:sz w:val="24"/>
          <w:szCs w:val="24"/>
          <w:lang w:val="fr-FR"/>
        </w:rPr>
      </w:pPr>
      <w:r w:rsidRPr="00274CD3">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afin d'évaluer la convivialité et la qualité de l'activité que vous avez réalisée avec eux.</w:t>
      </w:r>
      <w:r w:rsidR="00000000" w:rsidRPr="00274CD3">
        <w:rPr>
          <w:rFonts w:ascii="Quattrocento Sans" w:eastAsia="Quattrocento Sans" w:hAnsi="Quattrocento Sans" w:cs="Quattrocento Sans"/>
          <w:color w:val="000000"/>
          <w:sz w:val="24"/>
          <w:szCs w:val="24"/>
          <w:lang w:val="fr-FR"/>
        </w:rPr>
        <w:t xml:space="preserve">. </w:t>
      </w:r>
    </w:p>
    <w:p w14:paraId="0DA26C36" w14:textId="77777777" w:rsidR="00E330CC" w:rsidRPr="00274CD3" w:rsidRDefault="00E330CC">
      <w:pPr>
        <w:spacing w:line="360" w:lineRule="auto"/>
        <w:rPr>
          <w:rFonts w:ascii="Quattrocento Sans" w:eastAsia="Quattrocento Sans" w:hAnsi="Quattrocento Sans" w:cs="Quattrocento Sans"/>
          <w:color w:val="000000"/>
          <w:sz w:val="24"/>
          <w:szCs w:val="24"/>
          <w:lang w:val="fr-FR"/>
        </w:rPr>
      </w:pPr>
    </w:p>
    <w:p w14:paraId="38F1E1AD" w14:textId="3EBB631A" w:rsidR="00E330CC" w:rsidRDefault="00274CD3" w:rsidP="00274CD3">
      <w:pPr>
        <w:spacing w:line="360" w:lineRule="auto"/>
        <w:jc w:val="both"/>
        <w:rPr>
          <w:rFonts w:ascii="Quattrocento Sans" w:eastAsia="Quattrocento Sans" w:hAnsi="Quattrocento Sans" w:cs="Quattrocento Sans"/>
          <w:i/>
          <w:color w:val="000000"/>
          <w:sz w:val="24"/>
          <w:szCs w:val="24"/>
          <w:lang w:val="fr-FR"/>
        </w:rPr>
      </w:pPr>
      <w:r w:rsidRPr="00274CD3">
        <w:rPr>
          <w:rFonts w:ascii="Quattrocento Sans" w:eastAsia="Quattrocento Sans" w:hAnsi="Quattrocento Sans" w:cs="Quattrocento Sans"/>
          <w:i/>
          <w:color w:val="000000"/>
          <w:sz w:val="24"/>
          <w:szCs w:val="24"/>
          <w:lang w:val="fr-FR"/>
        </w:rPr>
        <w:t>Le sujet de ce manuel est lié aux ressources vidéo Construire des compétences multilingues à travers la culture</w:t>
      </w:r>
    </w:p>
    <w:p w14:paraId="060661C3" w14:textId="77777777" w:rsidR="00274CD3" w:rsidRPr="00274CD3" w:rsidRDefault="00274CD3" w:rsidP="00274CD3">
      <w:pPr>
        <w:spacing w:line="360" w:lineRule="auto"/>
        <w:jc w:val="both"/>
        <w:rPr>
          <w:rFonts w:ascii="Quattrocento Sans" w:eastAsia="Quattrocento Sans" w:hAnsi="Quattrocento Sans" w:cs="Quattrocento Sans"/>
          <w:i/>
          <w:color w:val="000000"/>
          <w:sz w:val="24"/>
          <w:szCs w:val="24"/>
          <w:lang w:val="fr-FR"/>
        </w:rPr>
      </w:pPr>
    </w:p>
    <w:p w14:paraId="326B8B1B" w14:textId="24D736D4" w:rsidR="00E330CC" w:rsidRPr="00274CD3" w:rsidRDefault="00000000">
      <w:pPr>
        <w:pStyle w:val="Titre2"/>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 xml:space="preserve">Introduction </w:t>
      </w:r>
      <w:r w:rsidR="00274CD3" w:rsidRPr="00274CD3">
        <w:rPr>
          <w:rFonts w:ascii="Quattrocento Sans" w:eastAsia="Quattrocento Sans" w:hAnsi="Quattrocento Sans" w:cs="Quattrocento Sans"/>
          <w:sz w:val="24"/>
          <w:szCs w:val="24"/>
          <w:lang w:val="fr-FR"/>
        </w:rPr>
        <w:t>au sujet</w:t>
      </w:r>
    </w:p>
    <w:p w14:paraId="62C45BCE" w14:textId="77777777" w:rsidR="00E330CC" w:rsidRPr="00274CD3" w:rsidRDefault="00E330CC">
      <w:pPr>
        <w:rPr>
          <w:rFonts w:ascii="Quattrocento Sans" w:eastAsia="Quattrocento Sans" w:hAnsi="Quattrocento Sans" w:cs="Quattrocento Sans"/>
          <w:sz w:val="24"/>
          <w:szCs w:val="24"/>
          <w:lang w:val="fr-FR"/>
        </w:rPr>
      </w:pPr>
    </w:p>
    <w:p w14:paraId="61BB521C" w14:textId="45D9064E" w:rsidR="00E330CC" w:rsidRDefault="00274CD3" w:rsidP="00274CD3">
      <w:pPr>
        <w:spacing w:line="360" w:lineRule="auto"/>
        <w:jc w:val="both"/>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La culture d'un pays, comme les traditions, la cuisine, les fêtes nationales, les gestes, la communication ou la musique traditionnelle, peut aider les adultes peu qualifiés à développer leurs compétences multilingues.  Grâce aux ressources ONE-STEP UP, les adultes peu qualifiés peuvent explorer la manière dont ces supports d'apprentissage peuvent avoir un impact positif sur leur capacité à travailler le vocabulaire et la grammaire.</w:t>
      </w:r>
    </w:p>
    <w:p w14:paraId="49E03C4C" w14:textId="77777777" w:rsidR="00274CD3" w:rsidRPr="00274CD3" w:rsidRDefault="00274CD3" w:rsidP="00274CD3">
      <w:pPr>
        <w:spacing w:line="360" w:lineRule="auto"/>
        <w:jc w:val="both"/>
        <w:rPr>
          <w:rFonts w:ascii="Quattrocento Sans" w:eastAsia="Quattrocento Sans" w:hAnsi="Quattrocento Sans" w:cs="Quattrocento Sans"/>
          <w:sz w:val="24"/>
          <w:szCs w:val="24"/>
          <w:lang w:val="fr-FR"/>
        </w:rPr>
      </w:pPr>
    </w:p>
    <w:p w14:paraId="6A49EAEA" w14:textId="58FF49EA" w:rsidR="00E330CC" w:rsidRPr="00274CD3" w:rsidRDefault="00000000">
      <w:pPr>
        <w:pStyle w:val="Titre2"/>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lastRenderedPageBreak/>
        <w:t xml:space="preserve">Introduction </w:t>
      </w:r>
      <w:r w:rsidR="00274CD3" w:rsidRPr="00274CD3">
        <w:rPr>
          <w:rFonts w:ascii="Quattrocento Sans" w:eastAsia="Quattrocento Sans" w:hAnsi="Quattrocento Sans" w:cs="Quattrocento Sans"/>
          <w:sz w:val="24"/>
          <w:szCs w:val="24"/>
          <w:lang w:val="fr-FR"/>
        </w:rPr>
        <w:t xml:space="preserve">à l’activité </w:t>
      </w:r>
      <w:r w:rsidRPr="00274CD3">
        <w:rPr>
          <w:rFonts w:ascii="Quattrocento Sans" w:eastAsia="Quattrocento Sans" w:hAnsi="Quattrocento Sans" w:cs="Quattrocento Sans"/>
          <w:sz w:val="24"/>
          <w:szCs w:val="24"/>
          <w:lang w:val="fr-FR"/>
        </w:rPr>
        <w:t xml:space="preserve"> </w:t>
      </w:r>
    </w:p>
    <w:p w14:paraId="30C5FEAE" w14:textId="77777777" w:rsidR="00E330CC" w:rsidRPr="00274CD3" w:rsidRDefault="00E330CC">
      <w:pPr>
        <w:rPr>
          <w:lang w:val="fr-FR"/>
        </w:rPr>
      </w:pPr>
    </w:p>
    <w:p w14:paraId="415C3574" w14:textId="77777777" w:rsidR="00274CD3" w:rsidRPr="00274CD3" w:rsidRDefault="00274CD3" w:rsidP="00274CD3">
      <w:pPr>
        <w:spacing w:line="360" w:lineRule="auto"/>
        <w:jc w:val="both"/>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Dans le manuel de l'apprenant, les adultes peu qualifiés ont la possibilité de se plonger dans l'initiative de la ville de Paris intitulée "Leçons pour adultes", qui propose une formation en langues étrangères. Ces cours sont interactifs et changent des cours ordinaires car ils se concentrent non seulement sur les aspects techniques et grammaticaux de la langue mais explorent également le monde de la cuisine, du cinéma ou de la littérature. Ces cours de langue s'immergent également dans la culture de la langue cible.</w:t>
      </w:r>
    </w:p>
    <w:p w14:paraId="5E0A6A4D" w14:textId="097B86A6" w:rsidR="00274CD3" w:rsidRDefault="00274CD3" w:rsidP="00274CD3">
      <w:pPr>
        <w:spacing w:line="360" w:lineRule="auto"/>
        <w:jc w:val="both"/>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De plus, les apprenants ont la possibilité de participer à l'activité amusante et interactive "Un petit voyage culturel à la maison". Ils découvriront comment le fait d'écouter de la musique traditionnelle et de cuisiner des plats typiques de la langue cible peut améliorer leur capacité à parler et à communiquer dans une autre langue. Vous pouvez ainsi inciter les apprenants à découvrir comment les disciplines culturelles peuvent conduire à des améliorations significatives de leurs compétences multilingues.</w:t>
      </w:r>
    </w:p>
    <w:p w14:paraId="2ACF58D8" w14:textId="77777777" w:rsidR="00274CD3" w:rsidRPr="00274CD3" w:rsidRDefault="00274CD3" w:rsidP="00274CD3">
      <w:pPr>
        <w:spacing w:line="360" w:lineRule="auto"/>
        <w:jc w:val="both"/>
        <w:rPr>
          <w:rFonts w:ascii="Quattrocento Sans" w:eastAsia="Quattrocento Sans" w:hAnsi="Quattrocento Sans" w:cs="Quattrocento Sans"/>
          <w:sz w:val="24"/>
          <w:szCs w:val="24"/>
          <w:lang w:val="fr-FR"/>
        </w:rPr>
      </w:pPr>
    </w:p>
    <w:p w14:paraId="5EE1F418" w14:textId="27F999E6" w:rsidR="00E330CC" w:rsidRPr="00274CD3" w:rsidRDefault="00274CD3">
      <w:pPr>
        <w:pStyle w:val="Titre2"/>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Utiliser cette ressource avec un groupe</w:t>
      </w:r>
      <w:r w:rsidRPr="00274CD3">
        <w:rPr>
          <w:rFonts w:ascii="Quattrocento Sans" w:eastAsia="Quattrocento Sans" w:hAnsi="Quattrocento Sans" w:cs="Quattrocento Sans"/>
          <w:sz w:val="24"/>
          <w:szCs w:val="24"/>
          <w:lang w:val="fr-FR"/>
        </w:rPr>
        <w:t xml:space="preserve"> </w:t>
      </w:r>
    </w:p>
    <w:p w14:paraId="1D5E34AE" w14:textId="77777777" w:rsidR="00E330CC" w:rsidRPr="00274CD3" w:rsidRDefault="00E330CC">
      <w:pPr>
        <w:shd w:val="clear" w:color="auto" w:fill="FFFFFF"/>
        <w:spacing w:after="225" w:line="360" w:lineRule="auto"/>
        <w:jc w:val="both"/>
        <w:rPr>
          <w:rFonts w:ascii="Quattrocento Sans" w:eastAsia="Quattrocento Sans" w:hAnsi="Quattrocento Sans" w:cs="Quattrocento Sans"/>
          <w:color w:val="000000"/>
          <w:sz w:val="24"/>
          <w:szCs w:val="24"/>
          <w:lang w:val="fr-FR"/>
        </w:rPr>
      </w:pPr>
    </w:p>
    <w:p w14:paraId="176F8E1B" w14:textId="4A70F58C" w:rsidR="00274CD3" w:rsidRPr="00274CD3" w:rsidRDefault="00274CD3">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274CD3">
        <w:rPr>
          <w:rFonts w:ascii="Quattrocento Sans" w:eastAsia="Quattrocento Sans" w:hAnsi="Quattrocento Sans" w:cs="Quattrocento Sans"/>
          <w:color w:val="000000"/>
          <w:sz w:val="24"/>
          <w:szCs w:val="24"/>
          <w:lang w:val="fr-FR"/>
        </w:rPr>
        <w:t xml:space="preserve">Pour utiliser cette ressource avec les apprenants adultes de votre groupe local, nous vous recommandons de commencer par leur montrer la ressource vidéo pour introduire le thème des </w:t>
      </w:r>
      <w:r w:rsidRPr="00274CD3">
        <w:rPr>
          <w:rFonts w:ascii="Quattrocento Sans" w:eastAsia="Quattrocento Sans" w:hAnsi="Quattrocento Sans" w:cs="Quattrocento Sans"/>
          <w:i/>
          <w:iCs/>
          <w:color w:val="000000"/>
          <w:sz w:val="24"/>
          <w:szCs w:val="24"/>
          <w:lang w:val="fr-FR"/>
        </w:rPr>
        <w:t>compétences multilingues et des disciplines culturelles</w:t>
      </w:r>
      <w:r w:rsidRPr="00274CD3">
        <w:rPr>
          <w:rFonts w:ascii="Quattrocento Sans" w:eastAsia="Quattrocento Sans" w:hAnsi="Quattrocento Sans" w:cs="Quattrocento Sans"/>
          <w:color w:val="000000"/>
          <w:sz w:val="24"/>
          <w:szCs w:val="24"/>
          <w:lang w:val="fr-FR"/>
        </w:rPr>
        <w:t>.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w:t>
      </w:r>
    </w:p>
    <w:p w14:paraId="259F1E33" w14:textId="7A93E24E" w:rsidR="00E330CC" w:rsidRPr="00274CD3" w:rsidRDefault="00000000">
      <w:pPr>
        <w:pStyle w:val="Titre2"/>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 xml:space="preserve"> Questions</w:t>
      </w:r>
      <w:r w:rsidR="00274CD3">
        <w:rPr>
          <w:rFonts w:ascii="Quattrocento Sans" w:eastAsia="Quattrocento Sans" w:hAnsi="Quattrocento Sans" w:cs="Quattrocento Sans"/>
          <w:sz w:val="24"/>
          <w:szCs w:val="24"/>
          <w:lang w:val="fr-FR"/>
        </w:rPr>
        <w:t xml:space="preserve"> de débriefing </w:t>
      </w:r>
    </w:p>
    <w:p w14:paraId="645655E7" w14:textId="77777777" w:rsidR="00E330CC" w:rsidRPr="00274CD3" w:rsidRDefault="00E330CC">
      <w:pPr>
        <w:rPr>
          <w:lang w:val="fr-FR"/>
        </w:rPr>
      </w:pPr>
    </w:p>
    <w:p w14:paraId="57A35894" w14:textId="77777777" w:rsidR="00274CD3" w:rsidRPr="00274CD3" w:rsidRDefault="00274CD3" w:rsidP="00274CD3">
      <w:pPr>
        <w:spacing w:line="360" w:lineRule="auto"/>
        <w:rPr>
          <w:rFonts w:ascii="Quattrocento Sans" w:eastAsia="Quattrocento Sans" w:hAnsi="Quattrocento Sans" w:cs="Quattrocento Sans"/>
          <w:sz w:val="24"/>
          <w:szCs w:val="24"/>
          <w:lang w:val="fr-FR"/>
        </w:rPr>
      </w:pPr>
      <w:bookmarkStart w:id="0" w:name="_heading=h.gjdgxs" w:colFirst="0" w:colLast="0"/>
      <w:bookmarkEnd w:id="0"/>
      <w:r w:rsidRPr="00274CD3">
        <w:rPr>
          <w:rFonts w:ascii="Quattrocento Sans" w:eastAsia="Quattrocento Sans" w:hAnsi="Quattrocento Sans" w:cs="Quattrocento Sans"/>
          <w:sz w:val="24"/>
          <w:szCs w:val="24"/>
          <w:lang w:val="fr-FR"/>
        </w:rPr>
        <w:t>Voici quelques questions potentielles de débriefing auxquelles les participants pourront réfléchir après avoir réalisé l'étude de cas et l'activité :</w:t>
      </w:r>
    </w:p>
    <w:p w14:paraId="01D9353D" w14:textId="77777777" w:rsidR="00274CD3" w:rsidRDefault="00274CD3" w:rsidP="00274CD3">
      <w:pPr>
        <w:pStyle w:val="Paragraphedeliste"/>
        <w:numPr>
          <w:ilvl w:val="0"/>
          <w:numId w:val="3"/>
        </w:numPr>
        <w:spacing w:line="360" w:lineRule="auto"/>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 xml:space="preserve">Qu'est-ce qui vous surprend le plus à propos des programmes ESL Language Plus Cooking ? </w:t>
      </w:r>
    </w:p>
    <w:p w14:paraId="06C7BC63" w14:textId="5E7EFDD2" w:rsidR="00274CD3" w:rsidRDefault="00274CD3" w:rsidP="00274CD3">
      <w:pPr>
        <w:pStyle w:val="Paragraphedeliste"/>
        <w:numPr>
          <w:ilvl w:val="0"/>
          <w:numId w:val="3"/>
        </w:numPr>
        <w:spacing w:line="360" w:lineRule="auto"/>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lastRenderedPageBreak/>
        <w:t xml:space="preserve">Qu'est-ce qui vous surprend le plus à propos de l'initiative </w:t>
      </w:r>
      <w:r>
        <w:rPr>
          <w:rFonts w:ascii="Quattrocento Sans" w:eastAsia="Quattrocento Sans" w:hAnsi="Quattrocento Sans" w:cs="Quattrocento Sans"/>
          <w:sz w:val="24"/>
          <w:szCs w:val="24"/>
          <w:lang w:val="fr-FR"/>
        </w:rPr>
        <w:t xml:space="preserve">Leçons pour adultes </w:t>
      </w:r>
      <w:r w:rsidRPr="00274CD3">
        <w:rPr>
          <w:rFonts w:ascii="Quattrocento Sans" w:eastAsia="Quattrocento Sans" w:hAnsi="Quattrocento Sans" w:cs="Quattrocento Sans"/>
          <w:sz w:val="24"/>
          <w:szCs w:val="24"/>
          <w:lang w:val="fr-FR"/>
        </w:rPr>
        <w:t xml:space="preserve">de la ville de Paris ? </w:t>
      </w:r>
    </w:p>
    <w:p w14:paraId="44B3834C" w14:textId="77777777" w:rsidR="00274CD3" w:rsidRDefault="00274CD3" w:rsidP="00274CD3">
      <w:pPr>
        <w:pStyle w:val="Paragraphedeliste"/>
        <w:numPr>
          <w:ilvl w:val="0"/>
          <w:numId w:val="3"/>
        </w:numPr>
        <w:spacing w:line="360" w:lineRule="auto"/>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 xml:space="preserve">De quelle manière ces programmes/initiatives allaient-ils au-delà du simple enseignement des compétences linguistiques ? </w:t>
      </w:r>
    </w:p>
    <w:p w14:paraId="3492D31B" w14:textId="77777777" w:rsidR="00274CD3" w:rsidRDefault="00274CD3" w:rsidP="00274CD3">
      <w:pPr>
        <w:pStyle w:val="Paragraphedeliste"/>
        <w:numPr>
          <w:ilvl w:val="0"/>
          <w:numId w:val="3"/>
        </w:numPr>
        <w:spacing w:line="360" w:lineRule="auto"/>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Quel est l'élément clé que vous retiendrez de cette étude de cas et de cette activité ? Comment l'appliquerez-vous à votre propre vie ou à votre travail ?</w:t>
      </w:r>
    </w:p>
    <w:p w14:paraId="29C31CAE" w14:textId="77777777" w:rsidR="00274CD3" w:rsidRDefault="00274CD3" w:rsidP="00274CD3">
      <w:pPr>
        <w:pStyle w:val="Paragraphedeliste"/>
        <w:numPr>
          <w:ilvl w:val="0"/>
          <w:numId w:val="3"/>
        </w:numPr>
        <w:spacing w:line="360" w:lineRule="auto"/>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 xml:space="preserve">Comment s'est déroulée l'activité " Un petit voyage culturel à la maison " ? L'avez-vous trouvée utile pour améliorer vos compétences linguistiques ? </w:t>
      </w:r>
    </w:p>
    <w:p w14:paraId="236413F7" w14:textId="3D300365" w:rsidR="00274CD3" w:rsidRPr="00274CD3" w:rsidRDefault="00274CD3" w:rsidP="00274CD3">
      <w:pPr>
        <w:pStyle w:val="Paragraphedeliste"/>
        <w:numPr>
          <w:ilvl w:val="0"/>
          <w:numId w:val="3"/>
        </w:numPr>
        <w:spacing w:line="360" w:lineRule="auto"/>
        <w:rPr>
          <w:rFonts w:ascii="Quattrocento Sans" w:eastAsia="Quattrocento Sans" w:hAnsi="Quattrocento Sans" w:cs="Quattrocento Sans"/>
          <w:sz w:val="24"/>
          <w:szCs w:val="24"/>
          <w:lang w:val="fr-FR"/>
        </w:rPr>
      </w:pPr>
      <w:r w:rsidRPr="00274CD3">
        <w:rPr>
          <w:rFonts w:ascii="Quattrocento Sans" w:eastAsia="Quattrocento Sans" w:hAnsi="Quattrocento Sans" w:cs="Quattrocento Sans"/>
          <w:sz w:val="24"/>
          <w:szCs w:val="24"/>
          <w:lang w:val="fr-FR"/>
        </w:rPr>
        <w:t>Comment la culture peut-elle être intégrée dans les programmes d'éducation ou de formation destinés aux adultes peu qualifiés afin d'améliorer leurs compétences linguistiques ?</w:t>
      </w:r>
    </w:p>
    <w:p w14:paraId="5FA11C21" w14:textId="77777777" w:rsidR="00E330CC" w:rsidRPr="00274CD3" w:rsidRDefault="00E330CC">
      <w:pPr>
        <w:rPr>
          <w:lang w:val="fr-FR"/>
        </w:rPr>
      </w:pPr>
    </w:p>
    <w:p w14:paraId="42C11918" w14:textId="77777777" w:rsidR="00E330CC" w:rsidRPr="00274CD3" w:rsidRDefault="00000000">
      <w:pPr>
        <w:jc w:val="center"/>
        <w:rPr>
          <w:lang w:val="fr-FR"/>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37751EBB" wp14:editId="2328C088">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274CD3">
        <w:rPr>
          <w:rFonts w:ascii="Source Sans Pro" w:eastAsia="Source Sans Pro" w:hAnsi="Source Sans Pro" w:cs="Source Sans Pro"/>
          <w:color w:val="000000"/>
          <w:lang w:val="fr-FR"/>
        </w:rPr>
        <w:t xml:space="preserve"> </w:t>
      </w:r>
    </w:p>
    <w:sectPr w:rsidR="00E330CC" w:rsidRPr="00274CD3">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79AF" w14:textId="77777777" w:rsidR="00C6696C" w:rsidRDefault="00C6696C">
      <w:pPr>
        <w:spacing w:after="0" w:line="240" w:lineRule="auto"/>
      </w:pPr>
      <w:r>
        <w:separator/>
      </w:r>
    </w:p>
  </w:endnote>
  <w:endnote w:type="continuationSeparator" w:id="0">
    <w:p w14:paraId="0348D987" w14:textId="77777777" w:rsidR="00C6696C" w:rsidRDefault="00C6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0B3B" w14:textId="77777777" w:rsidR="00E330CC" w:rsidRDefault="00E330CC">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7F3D" w14:textId="77777777" w:rsidR="00C6696C" w:rsidRDefault="00C6696C">
      <w:pPr>
        <w:spacing w:after="0" w:line="240" w:lineRule="auto"/>
      </w:pPr>
      <w:r>
        <w:separator/>
      </w:r>
    </w:p>
  </w:footnote>
  <w:footnote w:type="continuationSeparator" w:id="0">
    <w:p w14:paraId="37FCFD49" w14:textId="77777777" w:rsidR="00C6696C" w:rsidRDefault="00C6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B18B" w14:textId="77777777" w:rsidR="00E330CC" w:rsidRDefault="00E330C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C9A"/>
    <w:multiLevelType w:val="hybridMultilevel"/>
    <w:tmpl w:val="7DD49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A4516"/>
    <w:multiLevelType w:val="multilevel"/>
    <w:tmpl w:val="244A9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D55EDC"/>
    <w:multiLevelType w:val="multilevel"/>
    <w:tmpl w:val="C6844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8821063">
    <w:abstractNumId w:val="1"/>
  </w:num>
  <w:num w:numId="2" w16cid:durableId="1593204561">
    <w:abstractNumId w:val="2"/>
  </w:num>
  <w:num w:numId="3" w16cid:durableId="205843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CC"/>
    <w:rsid w:val="00274CD3"/>
    <w:rsid w:val="004724CC"/>
    <w:rsid w:val="00C6696C"/>
    <w:rsid w:val="00E33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96E7"/>
  <w15:docId w15:val="{F9E5DD03-315B-4DE7-93F3-1970452A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UBm9pagbTkTYM5ZJoLpTs74yQ==">CgMxLjAyCGguZ2pkZ3hzOAByITFQRVlNSHRxb3lZZXYwUF9MRmU0bmloQkFIZ3N6d1Q2Rw==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705</Words>
  <Characters>3881</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3</cp:revision>
  <dcterms:created xsi:type="dcterms:W3CDTF">2023-02-14T11:52:00Z</dcterms:created>
  <dcterms:modified xsi:type="dcterms:W3CDTF">2023-12-14T14:28:00Z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