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tabs>
          <w:tab w:val="left" w:pos="900"/>
        </w:tabs>
        <w:sectPr>
          <w:headerReference w:type="default" r:id="rId4"/>
          <w:footerReference w:type="default" r:id="rId5"/>
          <w:pgSz w:w="11900" w:h="16840" w:orient="portrait"/>
          <w:pgMar w:top="170" w:right="170" w:bottom="170" w:left="170" w:header="0" w:footer="0"/>
          <w:pgNumType w:start="1"/>
          <w:bidi w:val="0"/>
        </w:sectPr>
      </w:pPr>
      <w: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-34289</wp:posOffset>
            </wp:positionH>
            <wp:positionV relativeFrom="page">
              <wp:posOffset>-131443</wp:posOffset>
            </wp:positionV>
            <wp:extent cx="7625716" cy="10782300"/>
            <wp:effectExtent l="0" t="0" r="0" b="0"/>
            <wp:wrapSquare wrapText="bothSides" distL="57150" distR="57150" distT="57150" distB="57150"/>
            <wp:docPr id="1073741825" name="officeArt object" descr="Shap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hapeDescription automatically generated" descr="Shape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82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 xmlns:a="http://schemas.openxmlformats.org/drawingml/2006/main"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2398954</wp:posOffset>
                </wp:positionH>
                <wp:positionV relativeFrom="page">
                  <wp:posOffset>2255062</wp:posOffset>
                </wp:positionV>
                <wp:extent cx="4613346" cy="3534516"/>
                <wp:effectExtent l="0" t="0" r="0" b="0"/>
                <wp:wrapSquare wrapText="bothSides" distL="80010" distR="80010" distT="80010" distB="80010"/>
                <wp:docPr id="1073741826" name="officeArt object" descr="La citoyenneté à travers les disciplines culturelle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3346" cy="353451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jc w:val="right"/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La citoyennet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 xml:space="preserve">é à 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  <w:t>travers les disciplines culturelles</w:t>
                            </w: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f5b335"/>
                                <w:sz w:val="72"/>
                                <w:szCs w:val="72"/>
                                <w:u w:color="f5b335"/>
                                <w:vertAlign w:val="baseline"/>
                                <w14:textFill>
                                  <w14:solidFill>
                                    <w14:srgbClr w14:val="F5B335"/>
                                  </w14:solidFill>
                                </w14:textFill>
                              </w:rPr>
                            </w:r>
                          </w:p>
                          <w:p>
                            <w:pPr>
                              <w:pStyle w:val="Body"/>
                              <w:jc w:val="right"/>
                            </w:pPr>
                            <w:r>
                              <w:rPr>
                                <w:rFonts w:ascii="Bebas Neue" w:cs="Bebas Neue" w:hAnsi="Bebas Neue" w:eastAsia="Bebas Neue"/>
                                <w:caps w:val="0"/>
                                <w:smallCaps w:val="0"/>
                                <w:strike w:val="0"/>
                                <w:dstrike w:val="0"/>
                                <w:outline w:val="0"/>
                                <w:color w:val="000000"/>
                                <w:sz w:val="64"/>
                                <w:szCs w:val="64"/>
                                <w:u w:color="000000"/>
                                <w:vertAlign w:val="baseline"/>
                                <w:rtl w:val="0"/>
                                <w:lang w:val="fr-FR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Guide de l'apprenant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188.9pt;margin-top:177.6pt;width:363.3pt;height:278.3pt;z-index:251660288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right"/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</w:pP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La citoyennet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 xml:space="preserve">é à 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  <w:t>travers les disciplines culturelles</w:t>
                      </w: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f5b335"/>
                          <w:sz w:val="72"/>
                          <w:szCs w:val="72"/>
                          <w:u w:color="f5b335"/>
                          <w:vertAlign w:val="baseline"/>
                          <w14:textFill>
                            <w14:solidFill>
                              <w14:srgbClr w14:val="F5B335"/>
                            </w14:solidFill>
                          </w14:textFill>
                        </w:rPr>
                      </w:r>
                    </w:p>
                    <w:p>
                      <w:pPr>
                        <w:pStyle w:val="Body"/>
                        <w:jc w:val="right"/>
                      </w:pPr>
                      <w:r>
                        <w:rPr>
                          <w:rFonts w:ascii="Bebas Neue" w:cs="Bebas Neue" w:hAnsi="Bebas Neue" w:eastAsia="Bebas Neue"/>
                          <w:caps w:val="0"/>
                          <w:smallCaps w:val="0"/>
                          <w:strike w:val="0"/>
                          <w:dstrike w:val="0"/>
                          <w:outline w:val="0"/>
                          <w:color w:val="000000"/>
                          <w:sz w:val="64"/>
                          <w:szCs w:val="64"/>
                          <w:u w:color="000000"/>
                          <w:vertAlign w:val="baseline"/>
                          <w:rtl w:val="0"/>
                          <w:lang w:val="fr-FR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Guide de l'apprenant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p>
      <w:pPr>
        <w:pStyle w:val="Body"/>
        <w:keepNext w:val="1"/>
        <w:keepLines w:val="1"/>
        <w:spacing w:before="240" w:after="0"/>
        <w:rPr>
          <w:caps w:val="0"/>
          <w:smallCaps w:val="0"/>
          <w:strike w:val="0"/>
          <w:dstrike w:val="0"/>
          <w:outline w:val="0"/>
          <w:color w:val="2f5496"/>
          <w:sz w:val="32"/>
          <w:szCs w:val="32"/>
          <w:u w:val="none" w:color="2f5496"/>
          <w:shd w:val="nil" w:color="auto" w:fill="auto"/>
          <w:vertAlign w:val="baseline"/>
          <w14:textFill>
            <w14:solidFill>
              <w14:srgbClr w14:val="2F5496"/>
            </w14:solidFill>
          </w14:textFill>
        </w:rPr>
      </w:pPr>
      <w:r>
        <w:rPr>
          <w:caps w:val="0"/>
          <w:smallCaps w:val="0"/>
          <w:strike w:val="0"/>
          <w:dstrike w:val="0"/>
          <w:outline w:val="0"/>
          <w:color w:val="2f5496"/>
          <w:sz w:val="32"/>
          <w:szCs w:val="32"/>
          <w:u w:val="none" w:color="2f5496"/>
          <w:shd w:val="nil" w:color="auto" w:fill="auto"/>
          <w:vertAlign w:val="baseline"/>
          <w:rtl w:val="0"/>
          <w:lang w:val="en-US"/>
          <w14:textFill>
            <w14:solidFill>
              <w14:srgbClr w14:val="2F5496"/>
            </w14:solidFill>
          </w14:textFill>
        </w:rPr>
        <w:t>Sommaire</w:t>
      </w:r>
    </w:p>
    <w:p>
      <w:pPr>
        <w:pStyle w:val="Body"/>
        <w:rPr>
          <w:u w:color="2f5496"/>
        </w:rPr>
      </w:pPr>
      <w:r>
        <w:rPr>
          <w:u w:color="2f5496"/>
          <w:rtl w:val="0"/>
          <w:lang w:val="fr-FR"/>
        </w:rPr>
        <w:t>Qu'est-ce que la discipline culturelle ?</w:t>
        <w:tab/>
        <w:t>4</w:t>
      </w:r>
    </w:p>
    <w:p>
      <w:pPr>
        <w:pStyle w:val="Body"/>
        <w:rPr>
          <w:u w:color="2f5496"/>
        </w:rPr>
      </w:pPr>
      <w:r>
        <w:rPr>
          <w:u w:color="2f5496"/>
          <w:rtl w:val="0"/>
          <w:lang w:val="fr-FR"/>
        </w:rPr>
        <w:t>É</w:t>
      </w:r>
      <w:r>
        <w:rPr>
          <w:u w:color="2f5496"/>
          <w:rtl w:val="0"/>
          <w:lang w:val="fr-FR"/>
        </w:rPr>
        <w:t>tude de cas 1 - L'int</w:t>
      </w:r>
      <w:r>
        <w:rPr>
          <w:u w:color="2f5496"/>
          <w:rtl w:val="0"/>
          <w:lang w:val="fr-FR"/>
        </w:rPr>
        <w:t>é</w:t>
      </w:r>
      <w:r>
        <w:rPr>
          <w:u w:color="2f5496"/>
          <w:rtl w:val="0"/>
          <w:lang w:val="fr-FR"/>
        </w:rPr>
        <w:t>gration par la culture 4</w:t>
      </w:r>
    </w:p>
    <w:p>
      <w:pPr>
        <w:pStyle w:val="Body"/>
        <w:rPr>
          <w:u w:color="2f5496"/>
        </w:rPr>
      </w:pPr>
      <w:r>
        <w:rPr>
          <w:u w:color="2f5496"/>
          <w:rtl w:val="0"/>
          <w:lang w:val="en-US"/>
        </w:rPr>
        <w:t>Activit</w:t>
      </w:r>
      <w:r>
        <w:rPr>
          <w:u w:color="2f5496"/>
          <w:rtl w:val="0"/>
          <w:lang w:val="fr-FR"/>
        </w:rPr>
        <w:t xml:space="preserve">é </w:t>
      </w:r>
      <w:r>
        <w:rPr>
          <w:u w:color="2f5496"/>
          <w:rtl w:val="0"/>
        </w:rPr>
        <w:t>6</w:t>
      </w:r>
    </w:p>
    <w:p>
      <w:pPr>
        <w:pStyle w:val="Body"/>
      </w:pPr>
      <w:r>
        <w:rPr>
          <w:u w:color="2f5496"/>
          <w:rtl w:val="0"/>
          <w:lang w:val="fr-FR"/>
        </w:rPr>
        <w:t>Lectures compl</w:t>
      </w:r>
      <w:r>
        <w:rPr>
          <w:u w:color="2f5496"/>
          <w:rtl w:val="0"/>
          <w:lang w:val="fr-FR"/>
        </w:rPr>
        <w:t>é</w:t>
      </w:r>
      <w:r>
        <w:rPr>
          <w:u w:color="2f5496"/>
          <w:rtl w:val="0"/>
          <w:lang w:val="fr-FR"/>
        </w:rPr>
        <w:t>mentaires 8</w:t>
      </w:r>
    </w:p>
    <w:p>
      <w:pPr>
        <w:pStyle w:val="Body"/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  <w:rPr>
          <w:rFonts w:ascii="Bebas Neue" w:cs="Bebas Neue" w:hAnsi="Bebas Neue" w:eastAsia="Bebas Neue"/>
          <w:outline w:val="0"/>
          <w:color w:val="ff9900"/>
          <w:sz w:val="56"/>
          <w:szCs w:val="56"/>
          <w:u w:color="ff9900"/>
          <w14:textFill>
            <w14:solidFill>
              <w14:srgbClr w14:val="FF9900"/>
            </w14:solidFill>
          </w14:textFill>
        </w:rPr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Body"/>
      </w:pPr>
    </w:p>
    <w:p>
      <w:pPr>
        <w:pStyle w:val="Heading"/>
        <w:spacing w:line="360" w:lineRule="auto"/>
      </w:pPr>
      <w:r>
        <w:rPr>
          <w:rtl w:val="0"/>
          <w:lang w:val="en-US"/>
        </w:rPr>
        <w:t>Qu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est-ce que la discipline culturelle?</w:t>
      </w:r>
    </w:p>
    <w:p>
      <w:pPr>
        <w:pStyle w:val="Body"/>
        <w:spacing w:line="360" w:lineRule="auto"/>
      </w:pPr>
      <w:r>
        <w:drawing xmlns:a="http://schemas.openxmlformats.org/drawingml/2006/main">
          <wp:anchor distT="57150" distB="57150" distL="57150" distR="57150" simplePos="0" relativeHeight="251661312" behindDoc="0" locked="0" layoutInCell="1" allowOverlap="1">
            <wp:simplePos x="0" y="0"/>
            <wp:positionH relativeFrom="page">
              <wp:posOffset>5445759</wp:posOffset>
            </wp:positionH>
            <wp:positionV relativeFrom="page">
              <wp:posOffset>1295400</wp:posOffset>
            </wp:positionV>
            <wp:extent cx="1200150" cy="1133475"/>
            <wp:effectExtent l="0" t="0" r="0" b="0"/>
            <wp:wrapSquare wrapText="bothSides" distL="57150" distR="57150" distT="57150" distB="57150"/>
            <wp:docPr id="1073741827" name="officeArt object" descr="Handshak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Handshake with solid fill" descr="Handshake with solid fill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1334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fr-FR"/>
        </w:rPr>
        <w:t>Les disciplines culturelles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signent diff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rents domaines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 et de recherche qui se concentrent sur la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 et l'analyse de divers aspects de la culture humaine. Ces disciplines examinent comment les gens 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ent, expriment et interpr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tent leurs croyances, leurs valeurs, leurs coutumes, leurs traditions, leurs arts et leurs pratiques sociales.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fr-FR"/>
        </w:rPr>
        <w:t xml:space="preserve">Les disciplines culturelles englobent un large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ventail de domaines, chacun ayant sa propre perspective et ses propres 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thodes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tude. L'anthropologie, la sociologie, l'histoire, la linguistique, la litt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rature, l'histoire de l'art,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tudes religieuses et les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tudes culturelles sont quelques exemples de disciplines culturelles.</w:t>
      </w:r>
      <w:r>
        <w:rPr>
          <w:rFonts w:ascii="Source Sans Pro" w:cs="Source Sans Pro" w:hAnsi="Source Sans Pro" w:eastAsia="Source Sans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2336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2783839</wp:posOffset>
            </wp:positionV>
            <wp:extent cx="1314450" cy="1362075"/>
            <wp:effectExtent l="0" t="0" r="0" b="0"/>
            <wp:wrapSquare wrapText="bothSides" distL="57150" distR="57150" distT="57150" distB="57150"/>
            <wp:docPr id="1073741828" name="officeArt object" descr="Remote learning languag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Remote learning language with solid fill" descr="Remote learning language with solid fill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</w:rPr>
        <w:t>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ces disciplines, les chercheurs cherchent </w:t>
      </w:r>
      <w:r>
        <w:rPr>
          <w:rtl w:val="0"/>
        </w:rPr>
        <w:t xml:space="preserve">à </w:t>
      </w:r>
      <w:r>
        <w:rPr>
          <w:rtl w:val="0"/>
          <w:lang w:val="fr-FR"/>
        </w:rPr>
        <w:t>mieux comprendre la diversit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 xml:space="preserve">des cultures humaines, </w:t>
      </w:r>
      <w:r>
        <w:rPr>
          <w:rtl w:val="0"/>
          <w:lang w:val="fr-FR"/>
        </w:rPr>
        <w:t>à é</w:t>
      </w:r>
      <w:r>
        <w:rPr>
          <w:rtl w:val="0"/>
          <w:lang w:val="fr-FR"/>
        </w:rPr>
        <w:t>tudier la mani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 xml:space="preserve">re dont les cultures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voluent et changent au fil du temps, et </w:t>
      </w:r>
      <w:r>
        <w:rPr>
          <w:rtl w:val="0"/>
        </w:rPr>
        <w:t xml:space="preserve">à </w:t>
      </w:r>
      <w:r>
        <w:rPr>
          <w:rtl w:val="0"/>
          <w:lang w:val="fr-FR"/>
        </w:rPr>
        <w:t xml:space="preserve">comprendre comment la culture influence le comportement, les croyances et les interactions humaines. En examinant les diverses pratiques et expressions culturelles, les disciplines culturelles contribuent </w:t>
      </w:r>
      <w:r>
        <w:rPr>
          <w:rtl w:val="0"/>
        </w:rPr>
        <w:t xml:space="preserve">à </w:t>
      </w:r>
      <w:r>
        <w:rPr>
          <w:rtl w:val="0"/>
          <w:lang w:val="fr-FR"/>
        </w:rPr>
        <w:t>notre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 de la nature complexe et interconnect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des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humaines.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drawing xmlns:a="http://schemas.openxmlformats.org/drawingml/2006/main">
          <wp:anchor distT="57150" distB="57150" distL="57150" distR="57150" simplePos="0" relativeHeight="251663360" behindDoc="0" locked="0" layoutInCell="1" allowOverlap="1">
            <wp:simplePos x="0" y="0"/>
            <wp:positionH relativeFrom="page">
              <wp:posOffset>5255259</wp:posOffset>
            </wp:positionH>
            <wp:positionV relativeFrom="page">
              <wp:posOffset>4257675</wp:posOffset>
            </wp:positionV>
            <wp:extent cx="1390650" cy="1343025"/>
            <wp:effectExtent l="0" t="0" r="0" b="0"/>
            <wp:wrapSquare wrapText="bothSides" distL="57150" distR="57150" distT="57150" distB="57150"/>
            <wp:docPr id="1073741829" name="officeArt object" descr="Artist mal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Artist male with solid fill" descr="Artist male with solid fill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fr-FR"/>
        </w:rPr>
        <w:t>Les disciplines culturelles contribuent aux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citoyennes en favorisant la sensibilisation culturelle, la communication interculturelle, la pens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critique, la conscience mondiale et l'engagement civique. Elles favorisent la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 et le respect des diverses cultures, 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liorent les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en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de communication interculturelle,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veloppent les capacit</w:t>
      </w:r>
      <w:r>
        <w:rPr>
          <w:rtl w:val="0"/>
          <w:lang w:val="fr-FR"/>
        </w:rPr>
        <w:t>é</w:t>
      </w:r>
      <w:r>
        <w:rPr>
          <w:rtl w:val="0"/>
          <w:lang w:val="es-ES_tradnl"/>
        </w:rPr>
        <w:t>s de 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flexion critique, sensibilisent aux questions mondiales et incitent </w:t>
      </w:r>
      <w:r>
        <w:rPr>
          <w:rtl w:val="0"/>
        </w:rPr>
        <w:t xml:space="preserve">à </w:t>
      </w:r>
      <w:r>
        <w:rPr>
          <w:rtl w:val="0"/>
          <w:lang w:val="fr-FR"/>
        </w:rPr>
        <w:t>une participation active aux affaires de la communaut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et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nl-NL"/>
        </w:rPr>
        <w:t>. En 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grant les disciplines culturelles dans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ducation et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les individus peuvent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les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cessaires </w:t>
      </w:r>
      <w:r>
        <w:rPr>
          <w:rtl w:val="0"/>
        </w:rPr>
        <w:t xml:space="preserve">à </w:t>
      </w:r>
      <w:r>
        <w:rPr>
          <w:rtl w:val="0"/>
          <w:lang w:val="fr-FR"/>
        </w:rPr>
        <w:t>une citoyennet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inclusive, inform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et engag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</w:p>
    <w:p>
      <w:pPr>
        <w:pStyle w:val="Body"/>
      </w:pPr>
    </w:p>
    <w:p>
      <w:pPr>
        <w:pStyle w:val="Body"/>
      </w:pPr>
    </w:p>
    <w:p>
      <w:pPr>
        <w:pStyle w:val="Heading"/>
        <w:spacing w:line="360" w:lineRule="auto"/>
      </w:pPr>
      <w:r>
        <w:rPr>
          <w:rtl w:val="0"/>
          <w:lang w:val="fr-FR"/>
        </w:rPr>
        <w:t>É</w:t>
      </w:r>
      <w:r>
        <w:rPr>
          <w:rtl w:val="0"/>
          <w:lang w:val="fr-FR"/>
        </w:rPr>
        <w:t>tude de cas 1 - L'int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par la culture</w:t>
      </w:r>
    </w:p>
    <w:p>
      <w:pPr>
        <w:pStyle w:val="Body"/>
        <w:spacing w:line="360" w:lineRule="auto"/>
      </w:pPr>
      <w:r>
        <w:rPr>
          <w:rtl w:val="0"/>
          <w:lang w:val="it-IT"/>
        </w:rPr>
        <w:t>L'initiative "Int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par la culture" en Irlande, men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par l'unit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d'int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et de soutien du minist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irlandais de la justice et de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, est un programme complet con</w:t>
      </w:r>
      <w:r>
        <w:rPr>
          <w:rtl w:val="0"/>
        </w:rPr>
        <w:t>ç</w:t>
      </w:r>
      <w:r>
        <w:rPr>
          <w:rtl w:val="0"/>
          <w:lang w:val="fr-FR"/>
        </w:rPr>
        <w:t>u pour favoriser la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hension culturelle et encourager la participation active </w:t>
      </w:r>
      <w:r>
        <w:rPr>
          <w:rtl w:val="0"/>
        </w:rPr>
        <w:t xml:space="preserve">à </w:t>
      </w:r>
      <w:r>
        <w:rPr>
          <w:rtl w:val="0"/>
          <w:lang w:val="fr-FR"/>
        </w:rPr>
        <w:t>des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culturelles, afin de soutenir l'int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gration des migrants et des 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fugi</w:t>
      </w:r>
      <w:r>
        <w:rPr>
          <w:rtl w:val="0"/>
          <w:lang w:val="fr-FR"/>
        </w:rPr>
        <w:t>é</w:t>
      </w:r>
      <w:r>
        <w:rPr>
          <w:rtl w:val="0"/>
          <w:lang w:val="pt-PT"/>
        </w:rPr>
        <w:t>s.</w:t>
      </w:r>
      <w:r>
        <w:drawing xmlns:a="http://schemas.openxmlformats.org/drawingml/2006/main">
          <wp:anchor distT="57150" distB="57150" distL="57150" distR="57150" simplePos="0" relativeHeight="251664384" behindDoc="0" locked="0" layoutInCell="1" allowOverlap="1">
            <wp:simplePos x="0" y="0"/>
            <wp:positionH relativeFrom="page">
              <wp:posOffset>5321934</wp:posOffset>
            </wp:positionH>
            <wp:positionV relativeFrom="page">
              <wp:posOffset>1355089</wp:posOffset>
            </wp:positionV>
            <wp:extent cx="1323975" cy="1323975"/>
            <wp:effectExtent l="0" t="0" r="0" b="0"/>
            <wp:wrapSquare wrapText="bothSides" distL="57150" distR="57150" distT="57150" distB="57150"/>
            <wp:docPr id="1073741830" name="officeArt object" descr="Cheers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Cheers outline" descr="Cheers outline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</w:pPr>
      <w:r>
        <w:rPr>
          <w:rtl w:val="0"/>
          <w:lang w:val="fr-FR"/>
        </w:rPr>
        <w:t>Au c</w:t>
      </w:r>
      <w:r>
        <w:rPr>
          <w:rtl w:val="0"/>
          <w:lang w:val="fr-FR"/>
        </w:rPr>
        <w:t>œ</w:t>
      </w:r>
      <w:r>
        <w:rPr>
          <w:rtl w:val="0"/>
          <w:lang w:val="fr-FR"/>
        </w:rPr>
        <w:t>ur de cette initiative se trouve l'utilisation de diverses disciplines culturelles comme vecteurs d'am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lioration des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citoyennes des individus. Gr</w:t>
      </w:r>
      <w:r>
        <w:rPr>
          <w:rtl w:val="0"/>
        </w:rPr>
        <w:t>â</w:t>
      </w:r>
      <w:r>
        <w:rPr>
          <w:rtl w:val="0"/>
        </w:rPr>
        <w:t xml:space="preserve">ce </w:t>
      </w:r>
      <w:r>
        <w:rPr>
          <w:rtl w:val="0"/>
        </w:rPr>
        <w:t xml:space="preserve">à </w:t>
      </w:r>
      <w:r>
        <w:rPr>
          <w:rtl w:val="0"/>
          <w:lang w:val="fr-FR"/>
        </w:rPr>
        <w:t>l'organisation d'ateliers, de cours et d'</w:t>
      </w:r>
      <w:r>
        <w:rPr>
          <w:rtl w:val="0"/>
          <w:lang w:val="fr-FR"/>
        </w:rPr>
        <w:t>é</w:t>
      </w:r>
      <w:r>
        <w:rPr>
          <w:rtl w:val="0"/>
        </w:rPr>
        <w:t>v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nements centr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sur l'histoire, la litt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rature, la musique, la danse et les arts irlandais, les participants ont une occasion unique de s'immerger dans la riche tapisserie de la culture, des traditions et de l'h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ritage irlandais. En outre, ils sont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galement encourag</w:t>
      </w:r>
      <w:r>
        <w:rPr>
          <w:rtl w:val="0"/>
          <w:lang w:val="fr-FR"/>
        </w:rPr>
        <w:t>é</w:t>
      </w:r>
      <w:r>
        <w:rPr>
          <w:rtl w:val="0"/>
        </w:rPr>
        <w:t xml:space="preserve">s </w:t>
      </w:r>
      <w:r>
        <w:rPr>
          <w:rtl w:val="0"/>
        </w:rPr>
        <w:t xml:space="preserve">à </w:t>
      </w:r>
      <w:r>
        <w:rPr>
          <w:rtl w:val="0"/>
          <w:lang w:val="fr-FR"/>
        </w:rPr>
        <w:t>partager leurs propres ant</w:t>
      </w:r>
      <w:r>
        <w:rPr>
          <w:rtl w:val="0"/>
          <w:lang w:val="fr-FR"/>
        </w:rPr>
        <w:t>é</w:t>
      </w:r>
      <w:r>
        <w:rPr>
          <w:rtl w:val="0"/>
        </w:rPr>
        <w:t>c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dents culturels, ce qui favorise un esprit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 et d'appr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ciation mutuels.</w:t>
      </w:r>
      <w:r>
        <w:drawing xmlns:a="http://schemas.openxmlformats.org/drawingml/2006/main">
          <wp:anchor distT="57150" distB="57150" distL="57150" distR="57150" simplePos="0" relativeHeight="251665408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2679064</wp:posOffset>
            </wp:positionV>
            <wp:extent cx="1476375" cy="1571625"/>
            <wp:effectExtent l="0" t="0" r="0" b="0"/>
            <wp:wrapSquare wrapText="bothSides" distL="57150" distR="57150" distT="57150" distB="57150"/>
            <wp:docPr id="1073741831" name="officeArt object" descr="Shamrock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Shamrock with solid fill" descr="Shamrock with solid fill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571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</w:pPr>
      <w:r>
        <w:rPr>
          <w:rtl w:val="0"/>
          <w:lang w:val="fr-FR"/>
        </w:rPr>
        <w:t>En s'engageant activement dans ces activit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culturelles, les participants peuvent d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velopper des comp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tences essentielles en mati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re de communication interculturelle, ce qui leur permet de naviguer et d'interagir efficacement au sein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irlandaise. En outre, ces 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riences servent de catalyseurs pour approfondir leur compr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hension du tissu social des communaut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irlandaises, facilitant ainsi un sentiment de connexion et d'appartenance. L'initiative s'efforce de collaborer avec des institutions culturelles, des organisations communautaires et des artistes afin de garantir un 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ventail diversifi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d'exp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riences, augmentant ainsi le potentiel de rencontres et d'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changes culturels transformateurs.</w:t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fr-FR"/>
        </w:rPr>
        <w:t>Les objectifs de l'initiative "</w:t>
      </w:r>
      <w:r>
        <w:rPr>
          <w:i w:val="1"/>
          <w:iCs w:val="1"/>
          <w:rtl w:val="0"/>
        </w:rPr>
        <w:t>Int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gration par la culture</w:t>
      </w:r>
      <w:r>
        <w:rPr>
          <w:rtl w:val="0"/>
          <w:lang w:val="fr-FR"/>
        </w:rPr>
        <w:t xml:space="preserve">" sont multiples. Tout d'abord, elle cherche </w:t>
      </w:r>
      <w:r>
        <w:rPr>
          <w:rtl w:val="0"/>
        </w:rPr>
        <w:t xml:space="preserve">à </w:t>
      </w:r>
      <w:r>
        <w:rPr>
          <w:rtl w:val="0"/>
        </w:rPr>
        <w:t>cr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er un sentiment d'appartenance chez les individus, en les aidant </w:t>
      </w:r>
      <w:r>
        <w:rPr>
          <w:rtl w:val="0"/>
          <w:lang w:val="fr-FR"/>
        </w:rPr>
        <w:t>à é</w:t>
      </w:r>
      <w:r>
        <w:rPr>
          <w:rtl w:val="0"/>
          <w:lang w:val="fr-FR"/>
        </w:rPr>
        <w:t>tablir des liens significatifs avec leurs communaut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 d'adoption. Deuxi</w:t>
      </w:r>
      <w:r>
        <w:rPr>
          <w:rtl w:val="0"/>
          <w:lang w:val="it-IT"/>
        </w:rPr>
        <w:t>è</w:t>
      </w:r>
      <w:r>
        <w:rPr>
          <w:rtl w:val="0"/>
          <w:lang w:val="fr-FR"/>
        </w:rPr>
        <w:t>mement, en \promouvant une citoyennet</w:t>
      </w:r>
      <w:r>
        <w:rPr>
          <w:rtl w:val="0"/>
          <w:lang w:val="fr-FR"/>
        </w:rPr>
        <w:t xml:space="preserve">é </w:t>
      </w:r>
      <w:r>
        <w:rPr>
          <w:rtl w:val="0"/>
          <w:lang w:val="fr-FR"/>
        </w:rPr>
        <w:t>active, l'initiative permet aux participants de s'impliquer activement dans l'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laboration de leurs communaut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 locales et de contribuer </w:t>
      </w:r>
      <w:r>
        <w:rPr>
          <w:rtl w:val="0"/>
        </w:rPr>
        <w:t xml:space="preserve">à </w:t>
      </w:r>
      <w:r>
        <w:rPr>
          <w:rtl w:val="0"/>
          <w:lang w:val="fr-FR"/>
        </w:rPr>
        <w:t>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. En reconnaissant le pouvoir de l'engagement culturel, l'initiative s'efforce de favoriser la coh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sion sociale et de construire des communaut</w:t>
      </w:r>
      <w:r>
        <w:rPr>
          <w:rtl w:val="0"/>
          <w:lang w:val="fr-FR"/>
        </w:rPr>
        <w:t>é</w:t>
      </w:r>
      <w:r>
        <w:rPr>
          <w:rtl w:val="0"/>
          <w:lang w:val="en-US"/>
        </w:rPr>
        <w:t>s inclusives o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>la diversit</w:t>
      </w:r>
      <w:r>
        <w:rPr>
          <w:rtl w:val="0"/>
          <w:lang w:val="fr-FR"/>
        </w:rPr>
        <w:t xml:space="preserve">é </w:t>
      </w:r>
      <w:r>
        <w:rPr>
          <w:rtl w:val="0"/>
        </w:rPr>
        <w:t>est valoris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>e et c</w:t>
      </w:r>
      <w:r>
        <w:rPr>
          <w:rtl w:val="0"/>
          <w:lang w:val="fr-FR"/>
        </w:rPr>
        <w:t>é</w:t>
      </w:r>
      <w:r>
        <w:rPr>
          <w:rtl w:val="0"/>
        </w:rPr>
        <w:t>l</w:t>
      </w:r>
      <w:r>
        <w:rPr>
          <w:rtl w:val="0"/>
          <w:lang w:val="fr-FR"/>
        </w:rPr>
        <w:t>é</w:t>
      </w:r>
      <w:r>
        <w:rPr>
          <w:rtl w:val="0"/>
        </w:rPr>
        <w:t>br</w:t>
      </w:r>
      <w:r>
        <w:rPr>
          <w:rtl w:val="0"/>
          <w:lang w:val="fr-FR"/>
        </w:rPr>
        <w:t>é</w:t>
      </w:r>
      <w:r>
        <w:rPr>
          <w:rtl w:val="0"/>
          <w:lang w:val="it-IT"/>
        </w:rPr>
        <w:t>e.</w:t>
      </w:r>
      <w:r>
        <w:drawing xmlns:a="http://schemas.openxmlformats.org/drawingml/2006/main">
          <wp:anchor distT="57150" distB="57150" distL="57150" distR="57150" simplePos="0" relativeHeight="251666432" behindDoc="0" locked="0" layoutInCell="1" allowOverlap="1">
            <wp:simplePos x="0" y="0"/>
            <wp:positionH relativeFrom="page">
              <wp:posOffset>5435600</wp:posOffset>
            </wp:positionH>
            <wp:positionV relativeFrom="page">
              <wp:posOffset>4410075</wp:posOffset>
            </wp:positionV>
            <wp:extent cx="1210310" cy="1276350"/>
            <wp:effectExtent l="0" t="0" r="0" b="0"/>
            <wp:wrapSquare wrapText="bothSides" distL="57150" distR="57150" distT="57150" distB="57150"/>
            <wp:docPr id="1073741832" name="officeArt object" descr="Artist female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Artist female outline" descr="Artist female outline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310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7456" behindDoc="0" locked="0" layoutInCell="1" allowOverlap="1">
            <wp:simplePos x="0" y="0"/>
            <wp:positionH relativeFrom="page">
              <wp:posOffset>5312409</wp:posOffset>
            </wp:positionH>
            <wp:positionV relativeFrom="page">
              <wp:posOffset>7877175</wp:posOffset>
            </wp:positionV>
            <wp:extent cx="1333500" cy="1276350"/>
            <wp:effectExtent l="0" t="0" r="0" b="0"/>
            <wp:wrapSquare wrapText="bothSides" distL="57150" distR="57150" distT="57150" distB="57150"/>
            <wp:docPr id="1073741833" name="officeArt object" descr="Brain in head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Brain in head with solid fill" descr="Brain in head with solid fill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276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anchor distT="57150" distB="57150" distL="57150" distR="57150" simplePos="0" relativeHeight="251668480" behindDoc="0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6086475</wp:posOffset>
            </wp:positionV>
            <wp:extent cx="1245235" cy="1362075"/>
            <wp:effectExtent l="0" t="0" r="0" b="0"/>
            <wp:wrapSquare wrapText="bothSides" distL="57150" distR="57150" distT="57150" distB="57150"/>
            <wp:docPr id="1073741834" name="officeArt object" descr="Hero Mal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Hero Male with solid fill" descr="Hero Male with solid fill"/>
                    <pic:cNvPicPr>
                      <a:picLocks noChangeAspect="1"/>
                    </pic:cNvPicPr>
                  </pic:nvPicPr>
                  <pic:blipFill>
                    <a:blip r:embed="rId1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13620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</w:pPr>
    </w:p>
    <w:p>
      <w:pPr>
        <w:pStyle w:val="Body"/>
        <w:spacing w:line="360" w:lineRule="auto"/>
      </w:pPr>
      <w:r>
        <w:rPr>
          <w:rtl w:val="0"/>
          <w:lang w:val="it-IT"/>
        </w:rPr>
        <w:t>L'initiative "</w:t>
      </w:r>
      <w:r>
        <w:rPr>
          <w:i w:val="1"/>
          <w:iCs w:val="1"/>
          <w:rtl w:val="0"/>
        </w:rPr>
        <w:t>Int</w:t>
      </w:r>
      <w:r>
        <w:rPr>
          <w:i w:val="1"/>
          <w:iCs w:val="1"/>
          <w:rtl w:val="0"/>
          <w:lang w:val="fr-FR"/>
        </w:rPr>
        <w:t>é</w:t>
      </w:r>
      <w:r>
        <w:rPr>
          <w:i w:val="1"/>
          <w:iCs w:val="1"/>
          <w:rtl w:val="0"/>
          <w:lang w:val="fr-FR"/>
        </w:rPr>
        <w:t>gration par la culture</w:t>
      </w:r>
      <w:r>
        <w:rPr>
          <w:rtl w:val="0"/>
          <w:lang w:val="ru-RU"/>
        </w:rPr>
        <w:t>" repr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sente une ambition significative visant </w:t>
      </w:r>
      <w:r>
        <w:rPr>
          <w:rtl w:val="0"/>
        </w:rPr>
        <w:t xml:space="preserve">à </w:t>
      </w:r>
      <w:r>
        <w:rPr>
          <w:rtl w:val="0"/>
          <w:lang w:val="fr-FR"/>
        </w:rPr>
        <w:t>promouvoir l'int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gration, </w:t>
      </w:r>
      <w:r>
        <w:rPr>
          <w:rtl w:val="0"/>
        </w:rPr>
        <w:t xml:space="preserve">à </w:t>
      </w:r>
      <w:r>
        <w:rPr>
          <w:rtl w:val="0"/>
          <w:lang w:val="fr-FR"/>
        </w:rPr>
        <w:t>favoriser l'appr</w:t>
      </w:r>
      <w:r>
        <w:rPr>
          <w:rtl w:val="0"/>
          <w:lang w:val="fr-FR"/>
        </w:rPr>
        <w:t>é</w:t>
      </w:r>
      <w:r>
        <w:rPr>
          <w:rtl w:val="0"/>
          <w:lang w:val="fr-FR"/>
        </w:rPr>
        <w:t xml:space="preserve">ciation de la culture et </w:t>
      </w:r>
      <w:r>
        <w:rPr>
          <w:rtl w:val="0"/>
        </w:rPr>
        <w:t xml:space="preserve">à </w:t>
      </w:r>
      <w:r>
        <w:rPr>
          <w:rtl w:val="0"/>
          <w:lang w:val="fr-FR"/>
        </w:rPr>
        <w:t>responsabiliser les individus au sein de la soci</w:t>
      </w:r>
      <w:r>
        <w:rPr>
          <w:rtl w:val="0"/>
          <w:lang w:val="fr-FR"/>
        </w:rPr>
        <w:t>é</w:t>
      </w:r>
      <w:r>
        <w:rPr>
          <w:rtl w:val="0"/>
        </w:rPr>
        <w:t>t</w:t>
      </w:r>
      <w:r>
        <w:rPr>
          <w:rtl w:val="0"/>
          <w:lang w:val="fr-FR"/>
        </w:rPr>
        <w:t xml:space="preserve">é </w:t>
      </w:r>
      <w:r>
        <w:rPr>
          <w:rtl w:val="0"/>
          <w:lang w:val="it-IT"/>
        </w:rPr>
        <w:t>irlandaise.</w:t>
      </w:r>
    </w:p>
    <w:p>
      <w:pPr>
        <w:pStyle w:val="Body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Q. Quel est l'objectif de l'initiative "L'int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gration par la culture" ?</w:t>
      </w:r>
    </w:p>
    <w:p>
      <w:pPr>
        <w:pStyle w:val="Body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Q. Pensez-vous qu'il y ait des probl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  <w:lang w:val="fr-FR"/>
        </w:rPr>
        <w:t xml:space="preserve">mes auxquels cette initiative pourrait </w:t>
      </w:r>
      <w:r>
        <w:rPr>
          <w:b w:val="1"/>
          <w:bCs w:val="1"/>
          <w:rtl w:val="0"/>
        </w:rPr>
        <w:t>ê</w:t>
      </w:r>
      <w:r>
        <w:rPr>
          <w:b w:val="1"/>
          <w:bCs w:val="1"/>
          <w:rtl w:val="0"/>
          <w:lang w:val="it-IT"/>
        </w:rPr>
        <w:t>tre confront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e avec les participants ?</w:t>
      </w:r>
    </w:p>
    <w:p>
      <w:pPr>
        <w:pStyle w:val="Body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  <w:spacing w:line="360" w:lineRule="auto"/>
        <w:rPr>
          <w:b w:val="1"/>
          <w:bCs w:val="1"/>
        </w:rPr>
      </w:pPr>
      <w:r>
        <w:rPr>
          <w:b w:val="1"/>
          <w:bCs w:val="1"/>
          <w:rtl w:val="0"/>
          <w:lang w:val="fr-FR"/>
        </w:rPr>
        <w:t>Q. Pouvez-vous citer des disciplines culturelles que vous appr</w:t>
      </w:r>
      <w:r>
        <w:rPr>
          <w:b w:val="1"/>
          <w:bCs w:val="1"/>
          <w:rtl w:val="0"/>
          <w:lang w:val="fr-FR"/>
        </w:rPr>
        <w:t>é</w:t>
      </w:r>
      <w:r>
        <w:rPr>
          <w:b w:val="1"/>
          <w:bCs w:val="1"/>
          <w:rtl w:val="0"/>
          <w:lang w:val="fr-FR"/>
        </w:rPr>
        <w:t>ciez et qui int</w:t>
      </w:r>
      <w:r>
        <w:rPr>
          <w:b w:val="1"/>
          <w:bCs w:val="1"/>
          <w:rtl w:val="0"/>
          <w:lang w:val="it-IT"/>
        </w:rPr>
        <w:t>è</w:t>
      </w:r>
      <w:r>
        <w:rPr>
          <w:b w:val="1"/>
          <w:bCs w:val="1"/>
          <w:rtl w:val="0"/>
          <w:lang w:val="fr-FR"/>
        </w:rPr>
        <w:t>grent la citoyennet</w:t>
      </w:r>
      <w:r>
        <w:rPr>
          <w:b w:val="1"/>
          <w:bCs w:val="1"/>
          <w:rtl w:val="0"/>
          <w:lang w:val="fr-FR"/>
        </w:rPr>
        <w:t xml:space="preserve">é </w:t>
      </w:r>
      <w:r>
        <w:rPr>
          <w:b w:val="1"/>
          <w:bCs w:val="1"/>
          <w:rtl w:val="0"/>
          <w:lang w:val="zh-TW" w:eastAsia="zh-TW"/>
        </w:rPr>
        <w:t>?</w:t>
      </w:r>
    </w:p>
    <w:p>
      <w:pPr>
        <w:pStyle w:val="Body"/>
        <w:spacing w:line="360" w:lineRule="auto"/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Body"/>
      </w:pPr>
    </w:p>
    <w:p>
      <w:pPr>
        <w:pStyle w:val="Heading"/>
      </w:pPr>
      <w:bookmarkStart w:name="_headingh.1fob9te" w:id="0"/>
      <w:bookmarkEnd w:id="0"/>
      <w:r>
        <w:rPr>
          <w:rtl w:val="0"/>
        </w:rPr>
        <w:t>A</w:t>
      </w:r>
      <w:r>
        <w:rPr>
          <w:rtl w:val="0"/>
          <w:lang w:val="en-US"/>
        </w:rPr>
        <w:t>ctivit</w:t>
      </w:r>
      <w:r>
        <w:rPr>
          <w:rtl w:val="0"/>
          <w:lang w:val="en-US"/>
        </w:rPr>
        <w:t>é</w:t>
      </w:r>
    </w:p>
    <w:p>
      <w:pPr>
        <w:pStyle w:val="Body"/>
      </w:pPr>
    </w:p>
    <w:tbl>
      <w:tblPr>
        <w:tblW w:w="922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838"/>
        <w:gridCol w:w="2977"/>
        <w:gridCol w:w="1276"/>
        <w:gridCol w:w="3133"/>
      </w:tblGrid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Th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me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Transversal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Ciultural Disciplines</w:t>
            </w:r>
          </w:p>
        </w:tc>
      </w:tr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Titre de l'activit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Cultural Artefact Exploration</w:t>
            </w:r>
          </w:p>
        </w:tc>
      </w:tr>
      <w:tr>
        <w:tblPrEx>
          <w:shd w:val="clear" w:color="auto" w:fill="cdd4e9"/>
        </w:tblPrEx>
        <w:trPr>
          <w:trHeight w:val="577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Type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de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res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s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ource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eded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Activit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apprentissage</w:t>
            </w:r>
          </w:p>
        </w:tc>
      </w:tr>
      <w:tr>
        <w:tblPrEx>
          <w:shd w:val="clear" w:color="auto" w:fill="cdd4e9"/>
        </w:tblPrEx>
        <w:trPr>
          <w:trHeight w:val="4564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Photo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lang w:val="en-US"/>
              </w:rPr>
              <w:drawing xmlns:a="http://schemas.openxmlformats.org/drawingml/2006/main">
                <wp:inline distT="0" distB="0" distL="0" distR="0">
                  <wp:extent cx="3114675" cy="2076450"/>
                  <wp:effectExtent l="0" t="0" r="0" b="0"/>
                  <wp:docPr id="1073741835" name="officeArt object" descr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5" name="image8.jpg" descr="image8.jpg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675" cy="207645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sz w:val="24"/>
                <w:szCs w:val="24"/>
              </w:rPr>
              <w:fldChar w:fldCharType="begin" w:fldLock="0"/>
            </w:r>
            <w:r>
              <w:rPr>
                <w:rStyle w:val="Hyperlink.0"/>
                <w:sz w:val="24"/>
                <w:szCs w:val="24"/>
              </w:rPr>
              <w:instrText xml:space="preserve"> HYPERLINK "https://images.unsplash.com/photo-1606819717115-9159c900370b?ixlib=rb-4.0.3&amp;ixid=M3wxMjA3fDB8MHxwaG90by1wYWdlfHx8fGVufDB8fHx8fA==&amp;auto=format&amp;fit=crop&amp;w=1170&amp;q=80"</w:instrText>
            </w:r>
            <w:r>
              <w:rPr>
                <w:rStyle w:val="Hyperlink.0"/>
                <w:sz w:val="24"/>
                <w:szCs w:val="24"/>
              </w:rPr>
              <w:fldChar w:fldCharType="separate" w:fldLock="0"/>
            </w:r>
            <w:r>
              <w:rPr>
                <w:rStyle w:val="Hyperlink.0"/>
                <w:sz w:val="24"/>
                <w:szCs w:val="24"/>
                <w:rtl w:val="0"/>
                <w:lang w:val="en-US"/>
              </w:rPr>
              <w:t>Photo de Zalfa Imani sur Unsplash</w:t>
            </w:r>
            <w:r>
              <w:rPr>
                <w:sz w:val="24"/>
                <w:szCs w:val="24"/>
              </w:rPr>
              <w:fldChar w:fldCharType="end" w:fldLock="0"/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Style w:val="None"/>
                <w:sz w:val="24"/>
                <w:szCs w:val="24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dd4e9"/>
        </w:tblPrEx>
        <w:trPr>
          <w:trHeight w:val="1056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Dur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 de l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a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ctivit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</w:p>
          <w:p>
            <w:pPr>
              <w:pStyle w:val="Body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e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n minutes)</w:t>
            </w:r>
          </w:p>
        </w:tc>
        <w:tc>
          <w:tcPr>
            <w:tcW w:type="dxa" w:w="29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60-90 mins</w:t>
            </w:r>
          </w:p>
        </w:tc>
        <w:tc>
          <w:tcPr>
            <w:tcW w:type="dxa" w:w="127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Learning Outcome </w:t>
            </w:r>
          </w:p>
        </w:tc>
        <w:tc>
          <w:tcPr>
            <w:tcW w:type="dxa" w:w="313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  <w:lang w:val="en-US"/>
              </w:rPr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Am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liorer la pens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 critique</w:t>
            </w:r>
          </w:p>
        </w:tc>
      </w:tr>
      <w:tr>
        <w:tblPrEx>
          <w:shd w:val="clear" w:color="auto" w:fill="cdd4e9"/>
        </w:tblPrEx>
        <w:trPr>
          <w:trHeight w:val="1357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Objectif de l'activit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line="360" w:lineRule="auto"/>
            </w:pPr>
            <w:r>
              <w:rPr>
                <w:rFonts w:ascii="Calibri" w:hAnsi="Calibri"/>
                <w:sz w:val="24"/>
                <w:szCs w:val="24"/>
                <w:rtl w:val="0"/>
              </w:rPr>
              <w:t>Cette activit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é 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vise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explorer bri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è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vement un artefact culturel,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r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fl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chir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 xml:space="preserve">sa signification culturelle et 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 xml:space="preserve">à </w:t>
            </w:r>
            <w:r>
              <w:rPr>
                <w:rFonts w:ascii="Calibri" w:hAnsi="Calibri"/>
                <w:sz w:val="24"/>
                <w:szCs w:val="24"/>
                <w:rtl w:val="0"/>
              </w:rPr>
              <w:t>examiner sa pertinence pour la citoyennet</w:t>
            </w:r>
            <w:r>
              <w:rPr>
                <w:rFonts w:ascii="Calibri" w:hAnsi="Calibri" w:hint="default"/>
                <w:sz w:val="24"/>
                <w:szCs w:val="24"/>
                <w:rtl w:val="0"/>
              </w:rPr>
              <w:t>é</w:t>
            </w:r>
            <w:r>
              <w:rPr>
                <w:rFonts w:ascii="Calibri" w:hAnsi="Calibri"/>
                <w:sz w:val="24"/>
                <w:szCs w:val="24"/>
                <w:rtl w:val="0"/>
              </w:rPr>
              <w:t>.</w:t>
            </w:r>
          </w:p>
        </w:tc>
      </w:tr>
      <w:tr>
        <w:tblPrEx>
          <w:shd w:val="clear" w:color="auto" w:fill="cdd4e9"/>
        </w:tblPrEx>
        <w:trPr>
          <w:trHeight w:val="1357" w:hRule="atLeast"/>
        </w:trPr>
        <w:tc>
          <w:tcPr>
            <w:tcW w:type="dxa" w:w="183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Mat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riel n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cessaire 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l'activit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outline w:val="0"/>
                <w:color w:val="0e101a"/>
                <w:sz w:val="24"/>
                <w:szCs w:val="24"/>
                <w:u w:color="0e101a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Acc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è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s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Internet</w:t>
            </w:r>
          </w:p>
          <w:p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outline w:val="0"/>
                <w:color w:val="0e101a"/>
                <w:sz w:val="24"/>
                <w:szCs w:val="24"/>
                <w:u w:color="0e101a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Stylo et papier</w:t>
            </w:r>
          </w:p>
          <w:p>
            <w:pPr>
              <w:pStyle w:val="Body"/>
              <w:numPr>
                <w:ilvl w:val="0"/>
                <w:numId w:val="2"/>
              </w:numPr>
              <w:spacing w:after="0" w:line="360" w:lineRule="auto"/>
              <w:rPr>
                <w:outline w:val="0"/>
                <w:color w:val="0e101a"/>
                <w:sz w:val="24"/>
                <w:szCs w:val="24"/>
                <w:u w:color="0e101a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Stylo ou crayon</w:t>
            </w:r>
          </w:p>
        </w:tc>
      </w:tr>
      <w:tr>
        <w:tblPrEx>
          <w:shd w:val="clear" w:color="auto" w:fill="cdd4e9"/>
        </w:tblPrEx>
        <w:trPr>
          <w:trHeight w:val="10845" w:hRule="atLeast"/>
        </w:trPr>
        <w:tc>
          <w:tcPr>
            <w:tcW w:type="dxa" w:w="183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d965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Instructions 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tape par 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tape</w:t>
            </w:r>
          </w:p>
        </w:tc>
        <w:tc>
          <w:tcPr>
            <w:tcW w:type="dxa" w:w="738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360" w:lineRule="auto"/>
              <w:rPr>
                <w:rStyle w:val="None"/>
                <w:sz w:val="24"/>
                <w:szCs w:val="24"/>
                <w:shd w:val="nil" w:color="auto" w:fill="auto"/>
              </w:rPr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Veuillez suivre les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tapes suivantes pour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aliser cette activit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:</w:t>
            </w:r>
          </w:p>
          <w:p>
            <w:pPr>
              <w:pStyle w:val="Body"/>
              <w:spacing w:after="0" w:line="360" w:lineRule="auto"/>
              <w:rPr>
                <w:rStyle w:val="None"/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tape 1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 : Choisissez un objet culturel qui vous int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resse, tel qu'une peinture, une sculpture, un instrument de musique, un v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ê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tement traditionnel ou un objet historique.</w:t>
            </w: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tape 2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 : Utilisez Internet pour trouver des informations sur l'artefact culturel. Renseignez-vous sur son origine, sa signification historique, son contexte culturel, ainsi que sur les histoires int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ressantes ou le symbolisme qui lui sont associ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s.</w:t>
            </w:r>
          </w:p>
          <w:p>
            <w:pPr>
              <w:pStyle w:val="Body"/>
              <w:spacing w:after="0" w:line="360" w:lineRule="auto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tape 3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 : Prenez le temps de 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fl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chir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la pertinence de l'artefact pour la citoyennet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. 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fl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chissez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la mani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è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re dont il repr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sente ou incarne les valeurs culturelles, les traditions ou l'identit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. 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fl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chissez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à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l'impact potentiel de l'artefact sur la promotion de la compr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hension et de l'appr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ciation des diverses cultures.</w:t>
            </w:r>
          </w:p>
          <w:p>
            <w:pPr>
              <w:pStyle w:val="Body"/>
              <w:spacing w:after="0" w:line="360" w:lineRule="auto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</w:pP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tape 4 :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digez une br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è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ve description de l'artefact culturel, en soulignant ses principales caract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ristiques, son contexte historique et sa signification culturelle. Incluez toute observation ou 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flexion personnelle sur son lien avec la citoyennet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é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et la diversit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 xml:space="preserve">é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en-US"/>
                <w14:textFill>
                  <w14:solidFill>
                    <w14:srgbClr w14:val="0E101A"/>
                  </w14:solidFill>
                </w14:textFill>
              </w:rPr>
              <w:t>culturelle.</w:t>
            </w: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14:textFill>
                  <w14:solidFill>
                    <w14:srgbClr w14:val="0E101A"/>
                  </w14:solidFill>
                </w14:textFill>
              </w:rPr>
            </w:pPr>
          </w:p>
          <w:p>
            <w:pPr>
              <w:pStyle w:val="Body"/>
              <w:bidi w:val="0"/>
              <w:spacing w:after="0"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0e101a"/>
                <w:sz w:val="24"/>
                <w:szCs w:val="24"/>
                <w:u w:color="0e101a"/>
                <w:rtl w:val="0"/>
                <w14:textFill>
                  <w14:solidFill>
                    <w14:srgbClr w14:val="0E101A"/>
                  </w14:solidFill>
                </w14:textFill>
              </w:rPr>
              <w:t xml:space="preserve">tape 5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: Partagez votre description avec un ami, un membre de votre famille ou un autre apprenant. Discutez de l'impact de l'artefact sur votre compr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hension des diverses cultures et de son lien avec les comp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tences en mati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it-IT"/>
                <w14:textFill>
                  <w14:solidFill>
                    <w14:srgbClr w14:val="0E101A"/>
                  </w14:solidFill>
                </w14:textFill>
              </w:rPr>
              <w:t>è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re de citoyennet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14:textFill>
                  <w14:solidFill>
                    <w14:srgbClr w14:val="0E101A"/>
                  </w14:solidFill>
                </w14:textFill>
              </w:rPr>
              <w:t xml:space="preserve">. 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changez vos points de vue et vos id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fr-FR"/>
                <w14:textFill>
                  <w14:solidFill>
                    <w14:srgbClr w14:val="0E101A"/>
                  </w14:solidFill>
                </w14:textFill>
              </w:rPr>
              <w:t>é</w:t>
            </w:r>
            <w:r>
              <w:rPr>
                <w:rStyle w:val="None"/>
                <w:outline w:val="0"/>
                <w:color w:val="0e101a"/>
                <w:sz w:val="24"/>
                <w:szCs w:val="24"/>
                <w:u w:color="0e101a"/>
                <w:shd w:val="nil" w:color="auto" w:fill="auto"/>
                <w:rtl w:val="0"/>
                <w:lang w:val="pt-PT"/>
                <w14:textFill>
                  <w14:solidFill>
                    <w14:srgbClr w14:val="0E101A"/>
                  </w14:solidFill>
                </w14:textFill>
              </w:rPr>
              <w:t>es.</w:t>
            </w:r>
          </w:p>
        </w:tc>
      </w:tr>
    </w:tbl>
    <w:p>
      <w:pPr>
        <w:pStyle w:val="Body"/>
        <w:widowControl w:val="0"/>
        <w:spacing w:line="240" w:lineRule="auto"/>
        <w:jc w:val="center"/>
      </w:pPr>
    </w:p>
    <w:p>
      <w:pPr>
        <w:pStyle w:val="Body"/>
      </w:pPr>
    </w:p>
    <w:p>
      <w:pPr>
        <w:pStyle w:val="Heading"/>
        <w:spacing w:line="360" w:lineRule="auto"/>
      </w:pPr>
      <w:r>
        <w:rPr>
          <w:rStyle w:val="None"/>
          <w:rtl w:val="0"/>
          <w:lang w:val="fr-FR"/>
        </w:rPr>
        <w:t>Lectures compl</w:t>
      </w:r>
      <w:r>
        <w:rPr>
          <w:rStyle w:val="None"/>
          <w:rtl w:val="0"/>
          <w:lang w:val="fr-FR"/>
        </w:rPr>
        <w:t>é</w:t>
      </w:r>
      <w:r>
        <w:rPr>
          <w:rStyle w:val="None"/>
          <w:rtl w:val="0"/>
          <w:lang w:val="fr-FR"/>
        </w:rPr>
        <w:t>mentaires</w:t>
      </w: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5"/>
        <w:gridCol w:w="7087"/>
      </w:tblGrid>
      <w:tr>
        <w:tblPrEx>
          <w:shd w:val="clear" w:color="auto" w:fill="cdd4e9"/>
        </w:tblPrEx>
        <w:trPr>
          <w:trHeight w:val="71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Titre de la ressource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Strat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gie d'int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gration des migrants</w:t>
            </w:r>
          </w:p>
        </w:tc>
      </w:tr>
      <w:tr>
        <w:tblPrEx>
          <w:shd w:val="clear" w:color="auto" w:fill="cdd4e9"/>
        </w:tblPrEx>
        <w:trPr>
          <w:trHeight w:val="257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è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mes abord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Construire la citoyennet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par l'int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gration culturelle</w:t>
            </w:r>
          </w:p>
        </w:tc>
      </w:tr>
      <w:tr>
        <w:tblPrEx>
          <w:shd w:val="clear" w:color="auto" w:fill="cdd4e9"/>
        </w:tblPrEx>
        <w:trPr>
          <w:trHeight w:val="3073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Introduction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la ressource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La strat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gie d'int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gration des migrants, publi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 le 7 f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vrier 2017,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crit l'approche du gouvernement en mati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re d'int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gration des migrants en Irlande de 2017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2020. Elle met l'accent sur une approche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adopt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 par l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’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ensemble du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gouvernement impliquant des actions de la part de tous les minist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res. La strat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gie a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con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ç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ue pour tous les migrants, y compris les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fugi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s,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sidant l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galement dans le pays, ainsi que pour ceux qui ont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naturalis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citoyens irlandais mais qui sont n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en dehors de l'Irlande.</w:t>
            </w:r>
          </w:p>
        </w:tc>
      </w:tr>
      <w:tr>
        <w:tblPrEx>
          <w:shd w:val="clear" w:color="auto" w:fill="cdd4e9"/>
        </w:tblPrEx>
        <w:trPr>
          <w:trHeight w:val="3628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Que vous apportera l'utilisation de cette ressource ?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En utilisant cette ressource, vous pourrez vous familiariser avec les 76 actions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crites dans la strat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gie d'int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gration des migrants. Ces actions couvrent un large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ventail de th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mes, notamment la citoyennet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é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et la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sidence, l'acc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aux services publics et l'inclusion sociale, l'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ducation, l'emploi, la sant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, l'int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gration dans la communaut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, la participation politique, la promotion de la sensibilisation interculturelle, la lutte contre le racisme et la x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nophobie, ainsi que le b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volat et le sport. Diverses parties prenantes mettent en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œ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uvre les actions, telles que les services gouvernementaux, les autorit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locales, les organismes publics, les communaut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s, les entreprises, les organisations artistiques et les ONG.</w:t>
            </w:r>
          </w:p>
        </w:tc>
      </w:tr>
      <w:tr>
        <w:tblPrEx>
          <w:shd w:val="clear" w:color="auto" w:fill="cdd4e9"/>
        </w:tblPrEx>
        <w:trPr>
          <w:trHeight w:val="59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Lien vers la ressource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instrText xml:space="preserve"> HYPERLINK "https://assets.gov.ie/137895/0ead4b3a-311c-414b-8b65-5ce414c70693.pdf"</w:instrText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https://assets.gov.ie/137895/0ead4b3a-311c-414b-8b65-5ce414c70693.pdf</w:t>
            </w:r>
            <w:r>
              <w:rPr>
                <w:sz w:val="24"/>
                <w:szCs w:val="24"/>
                <w:shd w:val="clear" w:color="auto" w:fill="ffff00"/>
              </w:rPr>
              <w:fldChar w:fldCharType="end" w:fldLock="0"/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Heading"/>
        <w:widowControl w:val="0"/>
      </w:pPr>
    </w:p>
    <w:p>
      <w:pPr>
        <w:pStyle w:val="Body"/>
      </w:pPr>
    </w:p>
    <w:tbl>
      <w:tblPr>
        <w:tblW w:w="907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1985"/>
        <w:gridCol w:w="7087"/>
      </w:tblGrid>
      <w:tr>
        <w:tblPrEx>
          <w:shd w:val="clear" w:color="auto" w:fill="cdd4e9"/>
        </w:tblPrEx>
        <w:trPr>
          <w:trHeight w:val="71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Titre de la ressource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Les avantages des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 sur le lieu de travail</w:t>
            </w:r>
          </w:p>
        </w:tc>
      </w:tr>
      <w:tr>
        <w:tblPrEx>
          <w:shd w:val="clear" w:color="auto" w:fill="cdd4e9"/>
        </w:tblPrEx>
        <w:trPr>
          <w:trHeight w:val="71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Th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è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mes abord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é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s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Principaux avantages et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fis rencontr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s par les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</w:t>
            </w:r>
          </w:p>
        </w:tc>
      </w:tr>
      <w:tr>
        <w:tblPrEx>
          <w:shd w:val="clear" w:color="auto" w:fill="cdd4e9"/>
        </w:tblPrEx>
        <w:trPr>
          <w:trHeight w:val="2279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Introduction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la ressource 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Cette ressource explore les avantages de la cr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ation d'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 au sein des organisations. Elle souligne l'importance d'avoir des membres d'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 ayant des origines et des comp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tences diverses et la fa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ç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on dont cela peut avoir un impact positif sur la productivit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la culture et le moral. Elle aborde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galement les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fis que les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 peuvent rencontrer et fournit des conseils pour surmonter ces obstacles.</w:t>
            </w:r>
          </w:p>
        </w:tc>
      </w:tr>
      <w:tr>
        <w:tblPrEx>
          <w:shd w:val="clear" w:color="auto" w:fill="cdd4e9"/>
        </w:tblPrEx>
        <w:trPr>
          <w:trHeight w:val="6661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Que vous apportera l'utilisation de cette ressource ?</w:t>
            </w: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14:textFill>
                  <w14:solidFill>
                    <w14:srgbClr w14:val="FFFFFF"/>
                  </w14:solidFill>
                </w14:textFill>
              </w:rPr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En utilisant cette ressource, vous comprendrez les avantages des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 et la mani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re dont elles peuvent am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liorer les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sultats op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rationnels et les performances du march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. Vous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couvrirez l'accroissement de la cr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ativit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, l'am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lioration des capacit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de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solution des probl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mes, le renforcement des comp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tences, l'augmentation des b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n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fices et des revenus, l'augmentation de l'engagement des employ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s, l'am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lioration de la 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putation de l'entreprise et le renforcement du moral de l'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 qui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coulent des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es. En outre, cette ressource donne un aper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ç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u des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fis auxquels les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es peuvent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ê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tre confront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es, tels que les obstacles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à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la communication, les diff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rences culturelles, la lenteur de la prise de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cision et les pr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jug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au sein de l'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quipe. Elle propose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galement des conseils pratiques pour surmonter ces obstacles, notamment l'identification des barri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è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res linguistiques et de communication, l'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tablissement de limites de travail, la mise en place de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lais et la d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signation d'un m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diateur d'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quipe. Dans l'ensemble, cette ressource vous apportera les connaissances et les strat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gies n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cessaires pour tirer parti des avantages des 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quipes diversifi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es et surmonter efficacement les difficult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é</w:t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>s potentielles.</w:t>
            </w:r>
          </w:p>
        </w:tc>
      </w:tr>
      <w:tr>
        <w:tblPrEx>
          <w:shd w:val="clear" w:color="auto" w:fill="cdd4e9"/>
        </w:tblPrEx>
        <w:trPr>
          <w:trHeight w:val="594" w:hRule="atLeast"/>
        </w:trPr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ed7d31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center"/>
            </w:pPr>
            <w:r>
              <w:rPr>
                <w:rStyle w:val="None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en-US"/>
                <w14:textFill>
                  <w14:solidFill>
                    <w14:srgbClr w14:val="FFFFFF"/>
                  </w14:solidFill>
                </w14:textFill>
              </w:rPr>
              <w:t>Link to resource:</w:t>
            </w:r>
          </w:p>
        </w:tc>
        <w:tc>
          <w:tcPr>
            <w:tcW w:type="dxa" w:w="708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before="120" w:after="120" w:line="276" w:lineRule="auto"/>
              <w:jc w:val="both"/>
            </w:pP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instrText xml:space="preserve"> HYPERLINK "https://www.indeed.com/career-advice/career-development/diverse-team-benefits"</w:instrText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lang w:val="en-US"/>
                <w14:textFill>
                  <w14:solidFill>
                    <w14:srgbClr w14:val="0563C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563c1"/>
                <w:sz w:val="24"/>
                <w:szCs w:val="24"/>
                <w:u w:val="single" w:color="0563c1"/>
                <w:shd w:val="nil" w:color="auto" w:fill="auto"/>
                <w:rtl w:val="0"/>
                <w:lang w:val="en-US"/>
                <w14:textFill>
                  <w14:solidFill>
                    <w14:srgbClr w14:val="0563C1"/>
                  </w14:solidFill>
                </w14:textFill>
              </w:rPr>
              <w:t>https://www.indeed.com/career-advice/career-development/diverse-team-benefits</w:t>
            </w:r>
            <w:r>
              <w:rPr>
                <w:sz w:val="24"/>
                <w:szCs w:val="24"/>
                <w:shd w:val="clear" w:color="auto" w:fill="ffff00"/>
              </w:rPr>
              <w:fldChar w:fldCharType="end" w:fldLock="0"/>
            </w:r>
            <w:r>
              <w:rPr>
                <w:rStyle w:val="None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</w:tbl>
    <w:p>
      <w:pPr>
        <w:pStyle w:val="Body"/>
        <w:widowControl w:val="0"/>
        <w:spacing w:line="240" w:lineRule="auto"/>
      </w:pPr>
    </w:p>
    <w:p>
      <w:pPr>
        <w:pStyle w:val="Body"/>
        <w:spacing w:line="360" w:lineRule="auto"/>
      </w:pPr>
    </w:p>
    <w:p>
      <w:pPr>
        <w:pStyle w:val="Body"/>
        <w:spacing w:line="360" w:lineRule="auto"/>
        <w:sectPr>
          <w:headerReference w:type="default" r:id="rId16"/>
          <w:headerReference w:type="first" r:id="rId17"/>
          <w:pgSz w:w="11900" w:h="16840" w:orient="portrait"/>
          <w:pgMar w:top="1440" w:right="1440" w:bottom="1440" w:left="1440" w:header="0" w:footer="0"/>
          <w:titlePg w:val="1"/>
          <w:bidi w:val="0"/>
        </w:sectPr>
      </w:pPr>
    </w:p>
    <w:p>
      <w:pPr>
        <w:pStyle w:val="Body"/>
        <w:jc w:val="center"/>
      </w:pPr>
      <w:r>
        <w:rPr>
          <w:rStyle w:val="None"/>
          <w:rFonts w:ascii="Source Sans Pro" w:cs="Source Sans Pro" w:hAnsi="Source Sans Pro" w:eastAsia="Source Sans Pro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anchor distT="57150" distB="57150" distL="57150" distR="57150" simplePos="0" relativeHeight="251669504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-17143</wp:posOffset>
            </wp:positionV>
            <wp:extent cx="7625716" cy="10765156"/>
            <wp:effectExtent l="0" t="0" r="0" b="0"/>
            <wp:wrapSquare wrapText="bothSides" distL="57150" distR="57150" distT="57150" distB="57150"/>
            <wp:docPr id="1073741836" name="officeArt object" descr="Timelin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6" name="TimelineDescription automatically generated" descr="TimelineDescription automatically generated"/>
                    <pic:cNvPicPr>
                      <a:picLocks noChangeAspect="1"/>
                    </pic:cNvPicPr>
                  </pic:nvPicPr>
                  <pic:blipFill>
                    <a:blip r:embed="rId1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6" cy="107651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one"/>
          <w:rFonts w:ascii="Source Sans Pro" w:cs="Source Sans Pro" w:hAnsi="Source Sans Pro" w:eastAsia="Source Sans Pro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</w:p>
    <w:sectPr>
      <w:headerReference w:type="default" r:id="rId19"/>
      <w:headerReference w:type="first" r:id="rId20"/>
      <w:pgSz w:w="11900" w:h="16840" w:orient="portrait"/>
      <w:pgMar w:top="1440" w:right="1440" w:bottom="1440" w:left="1440" w:header="0" w:footer="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ebas Neue">
    <w:charset w:val="00"/>
    <w:family w:val="roman"/>
    <w:pitch w:val="default"/>
  </w:font>
  <w:font w:name="Calibri Light">
    <w:charset w:val="00"/>
    <w:family w:val="roman"/>
    <w:pitch w:val="default"/>
  </w:font>
  <w:font w:name="Source Sans Pro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3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4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5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25c99"/>
      <w:spacing w:val="0"/>
      <w:kern w:val="0"/>
      <w:position w:val="0"/>
      <w:sz w:val="32"/>
      <w:szCs w:val="32"/>
      <w:u w:val="none" w:color="225c99"/>
      <w:shd w:val="nil" w:color="auto" w:fill="auto"/>
      <w:vertAlign w:val="baseline"/>
      <w:lang w:val="en-US"/>
      <w14:textOutline>
        <w14:noFill/>
      </w14:textOutline>
      <w14:textFill>
        <w14:solidFill>
          <w14:srgbClr w14:val="225C99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Calibri" w:cs="Calibri" w:hAnsi="Calibri" w:eastAsia="Calibri"/>
      <w:outline w:val="0"/>
      <w:color w:val="0563c1"/>
      <w:u w:val="single" w:color="0563c1"/>
      <w:shd w:val="nil" w:color="auto" w:fill="auto"/>
      <w:lang w:val="en-US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.jpeg"/><Relationship Id="rId16" Type="http://schemas.openxmlformats.org/officeDocument/2006/relationships/header" Target="header2.xml"/><Relationship Id="rId17" Type="http://schemas.openxmlformats.org/officeDocument/2006/relationships/header" Target="header3.xml"/><Relationship Id="rId18" Type="http://schemas.openxmlformats.org/officeDocument/2006/relationships/image" Target="media/image10.png"/><Relationship Id="rId19" Type="http://schemas.openxmlformats.org/officeDocument/2006/relationships/header" Target="header4.xml"/><Relationship Id="rId20" Type="http://schemas.openxmlformats.org/officeDocument/2006/relationships/header" Target="header5.xml"/><Relationship Id="rId21" Type="http://schemas.openxmlformats.org/officeDocument/2006/relationships/numbering" Target="numbering.xml"/><Relationship Id="rId22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