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17" w:rsidRDefault="00775E82">
      <w:pPr>
        <w:tabs>
          <w:tab w:val="left" w:pos="900"/>
        </w:tabs>
      </w:pPr>
      <w:r>
        <w:rPr>
          <w:noProof/>
          <w:lang w:val="fr-FR"/>
        </w:rPr>
        <mc:AlternateContent>
          <mc:Choice Requires="wps">
            <w:drawing>
              <wp:anchor distT="45720" distB="45720" distL="114300" distR="114300" simplePos="0" relativeHeight="251658240" behindDoc="0" locked="0" layoutInCell="1" hidden="0" allowOverlap="1">
                <wp:simplePos x="0" y="0"/>
                <wp:positionH relativeFrom="column">
                  <wp:posOffset>1918970</wp:posOffset>
                </wp:positionH>
                <wp:positionV relativeFrom="paragraph">
                  <wp:posOffset>1593215</wp:posOffset>
                </wp:positionV>
                <wp:extent cx="4025900" cy="346710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0" y="0"/>
                          <a:ext cx="4025900" cy="3467100"/>
                        </a:xfrm>
                        <a:prstGeom prst="rect">
                          <a:avLst/>
                        </a:prstGeom>
                        <a:noFill/>
                        <a:ln>
                          <a:noFill/>
                        </a:ln>
                      </wps:spPr>
                      <wps:txbx>
                        <w:txbxContent>
                          <w:p w:rsidR="008041E6" w:rsidRPr="008041E6" w:rsidRDefault="008041E6">
                            <w:pPr>
                              <w:spacing w:line="258" w:lineRule="auto"/>
                              <w:jc w:val="right"/>
                              <w:textDirection w:val="btLr"/>
                              <w:rPr>
                                <w:rFonts w:ascii="Bebas Neue" w:eastAsia="Bebas Neue" w:hAnsi="Bebas Neue" w:cs="Bebas Neue"/>
                                <w:color w:val="FFC000"/>
                                <w:sz w:val="64"/>
                                <w:lang w:val="fr-FR"/>
                              </w:rPr>
                            </w:pPr>
                            <w:r w:rsidRPr="008041E6">
                              <w:rPr>
                                <w:rFonts w:ascii="Bebas Neue" w:eastAsia="Bebas Neue" w:hAnsi="Bebas Neue" w:cs="Bebas Neue"/>
                                <w:color w:val="FFC000"/>
                                <w:sz w:val="64"/>
                                <w:lang w:val="fr-FR"/>
                              </w:rPr>
                              <w:t>Multilinguisme numérique et social</w:t>
                            </w:r>
                          </w:p>
                          <w:p w:rsidR="008041E6" w:rsidRPr="008041E6" w:rsidRDefault="008041E6">
                            <w:pPr>
                              <w:spacing w:line="258" w:lineRule="auto"/>
                              <w:jc w:val="right"/>
                              <w:textDirection w:val="btLr"/>
                              <w:rPr>
                                <w:rFonts w:ascii="Bebas Neue" w:eastAsia="Bebas Neue" w:hAnsi="Bebas Neue" w:cs="Bebas Neue"/>
                                <w:color w:val="000000"/>
                                <w:sz w:val="64"/>
                                <w:lang w:val="fr-FR"/>
                              </w:rPr>
                            </w:pPr>
                            <w:r w:rsidRPr="008041E6">
                              <w:rPr>
                                <w:rFonts w:ascii="Bebas Neue" w:eastAsia="Bebas Neue" w:hAnsi="Bebas Neue" w:cs="Bebas Neue"/>
                                <w:color w:val="000000"/>
                                <w:sz w:val="64"/>
                                <w:lang w:val="fr-FR"/>
                              </w:rPr>
                              <w:t>Manuel de l'éducateur d'adultes</w:t>
                            </w:r>
                          </w:p>
                          <w:p w:rsidR="009E1A17" w:rsidRPr="008041E6" w:rsidRDefault="009E1A17">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51.1pt;margin-top:125.45pt;width:317pt;height:2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" filled="f" stroked="f">
                <v:textbox inset="2.53958mm,1.2694mm,2.53958mm,1.2694mm">
                  <w:txbxContent>
                    <w:p w:rsidR="008041E6" w:rsidRPr="008041E6" w:rsidRDefault="008041E6">
                      <w:pPr>
                        <w:spacing w:line="258" w:lineRule="auto"/>
                        <w:jc w:val="right"/>
                        <w:textDirection w:val="btLr"/>
                        <w:rPr>
                          <w:rFonts w:ascii="Bebas Neue" w:eastAsia="Bebas Neue" w:hAnsi="Bebas Neue" w:cs="Bebas Neue"/>
                          <w:color w:val="FFC000"/>
                          <w:sz w:val="64"/>
                          <w:lang w:val="fr-FR"/>
                        </w:rPr>
                      </w:pPr>
                      <w:r w:rsidRPr="008041E6">
                        <w:rPr>
                          <w:rFonts w:ascii="Bebas Neue" w:eastAsia="Bebas Neue" w:hAnsi="Bebas Neue" w:cs="Bebas Neue"/>
                          <w:color w:val="FFC000"/>
                          <w:sz w:val="64"/>
                          <w:lang w:val="fr-FR"/>
                        </w:rPr>
                        <w:t>Multilinguisme numérique et social</w:t>
                      </w:r>
                    </w:p>
                    <w:p w:rsidR="008041E6" w:rsidRPr="008041E6" w:rsidRDefault="008041E6">
                      <w:pPr>
                        <w:spacing w:line="258" w:lineRule="auto"/>
                        <w:jc w:val="right"/>
                        <w:textDirection w:val="btLr"/>
                        <w:rPr>
                          <w:rFonts w:ascii="Bebas Neue" w:eastAsia="Bebas Neue" w:hAnsi="Bebas Neue" w:cs="Bebas Neue"/>
                          <w:color w:val="000000"/>
                          <w:sz w:val="64"/>
                          <w:lang w:val="fr-FR"/>
                        </w:rPr>
                      </w:pPr>
                      <w:r w:rsidRPr="008041E6">
                        <w:rPr>
                          <w:rFonts w:ascii="Bebas Neue" w:eastAsia="Bebas Neue" w:hAnsi="Bebas Neue" w:cs="Bebas Neue"/>
                          <w:color w:val="000000"/>
                          <w:sz w:val="64"/>
                          <w:lang w:val="fr-FR"/>
                        </w:rPr>
                        <w:t>Manuel de l'éducateur d'adultes</w:t>
                      </w:r>
                    </w:p>
                    <w:p w:rsidR="009E1A17" w:rsidRPr="008041E6" w:rsidRDefault="009E1A17">
                      <w:pPr>
                        <w:spacing w:line="258" w:lineRule="auto"/>
                        <w:jc w:val="right"/>
                        <w:textDirection w:val="btLr"/>
                        <w:rPr>
                          <w:lang w:val="fr-FR"/>
                        </w:rPr>
                      </w:pPr>
                    </w:p>
                  </w:txbxContent>
                </v:textbox>
                <w10:wrap type="square"/>
              </v:rect>
            </w:pict>
          </mc:Fallback>
        </mc:AlternateContent>
      </w:r>
    </w:p>
    <w:p w:rsidR="009E1A17" w:rsidRDefault="00775E82">
      <w:pPr>
        <w:tabs>
          <w:tab w:val="left" w:pos="900"/>
        </w:tabs>
      </w:pPr>
      <w:r>
        <w:rPr>
          <w:noProof/>
          <w:lang w:val="fr-FR"/>
        </w:rPr>
        <w:lastRenderedPageBreak/>
        <w:drawing>
          <wp:anchor distT="0" distB="0" distL="114300" distR="114300" simplePos="0" relativeHeight="251659264" behindDoc="0" locked="0" layoutInCell="1" hidden="0" allowOverlap="1">
            <wp:simplePos x="0" y="0"/>
            <wp:positionH relativeFrom="margin">
              <wp:posOffset>-932812</wp:posOffset>
            </wp:positionH>
            <wp:positionV relativeFrom="margin">
              <wp:posOffset>-953768</wp:posOffset>
            </wp:positionV>
            <wp:extent cx="7625715" cy="10782300"/>
            <wp:effectExtent l="0" t="0" r="0" b="0"/>
            <wp:wrapSquare wrapText="bothSides" distT="0" distB="0" distL="114300" distR="114300"/>
            <wp:docPr id="9"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9"/>
                    <a:srcRect/>
                    <a:stretch>
                      <a:fillRect/>
                    </a:stretch>
                  </pic:blipFill>
                  <pic:spPr>
                    <a:xfrm>
                      <a:off x="0" y="0"/>
                      <a:ext cx="7625715" cy="10782300"/>
                    </a:xfrm>
                    <a:prstGeom prst="rect">
                      <a:avLst/>
                    </a:prstGeom>
                    <a:ln/>
                  </pic:spPr>
                </pic:pic>
              </a:graphicData>
            </a:graphic>
          </wp:anchor>
        </w:drawing>
      </w:r>
    </w:p>
    <w:p w:rsidR="008041E6" w:rsidRDefault="008041E6">
      <w:pPr>
        <w:pStyle w:val="Titre2"/>
        <w:tabs>
          <w:tab w:val="left" w:pos="5341"/>
        </w:tabs>
        <w:jc w:val="center"/>
        <w:rPr>
          <w:rFonts w:ascii="Bebas Neue" w:eastAsia="Bebas Neue" w:hAnsi="Bebas Neue" w:cs="Bebas Neue"/>
          <w:color w:val="F5B335"/>
          <w:sz w:val="48"/>
          <w:szCs w:val="48"/>
          <w:lang w:val="fr-FR"/>
        </w:rPr>
      </w:pPr>
      <w:r w:rsidRPr="008041E6">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rsidR="008041E6" w:rsidRPr="008041E6" w:rsidRDefault="008041E6" w:rsidP="008041E6">
      <w:pPr>
        <w:rPr>
          <w:lang w:val="en-US"/>
        </w:rPr>
      </w:pPr>
    </w:p>
    <w:p w:rsidR="009E1A17" w:rsidRPr="008041E6" w:rsidRDefault="008041E6">
      <w:pPr>
        <w:pStyle w:val="Titre2"/>
        <w:tabs>
          <w:tab w:val="left" w:pos="5341"/>
        </w:tabs>
        <w:rPr>
          <w:rFonts w:ascii="Quattrocento Sans" w:eastAsia="Quattrocento Sans" w:hAnsi="Quattrocento Sans" w:cs="Quattrocento Sans"/>
          <w:b/>
          <w:color w:val="1F2126"/>
          <w:sz w:val="36"/>
          <w:szCs w:val="36"/>
          <w:lang w:val="fr-FR"/>
        </w:rPr>
      </w:pPr>
      <w:r w:rsidRPr="008041E6">
        <w:rPr>
          <w:rFonts w:ascii="Quattrocento Sans" w:eastAsia="Quattrocento Sans" w:hAnsi="Quattrocento Sans" w:cs="Quattrocento Sans"/>
          <w:b/>
          <w:color w:val="1F2126"/>
          <w:sz w:val="36"/>
          <w:szCs w:val="36"/>
          <w:lang w:val="fr-FR"/>
        </w:rPr>
        <w:t xml:space="preserve">Manuel de l'éducateur d'adultes </w:t>
      </w:r>
    </w:p>
    <w:p w:rsidR="009E1A17" w:rsidRPr="008041E6" w:rsidRDefault="00775E82">
      <w:pPr>
        <w:rPr>
          <w:rFonts w:ascii="Quattrocento Sans" w:eastAsia="Quattrocento Sans" w:hAnsi="Quattrocento Sans" w:cs="Quattrocento Sans"/>
          <w:sz w:val="24"/>
          <w:szCs w:val="24"/>
          <w:lang w:val="fr-FR"/>
        </w:rPr>
      </w:pPr>
      <w:r w:rsidRPr="008041E6">
        <w:rPr>
          <w:rFonts w:ascii="Quattrocento Sans" w:eastAsia="Quattrocento Sans" w:hAnsi="Quattrocento Sans" w:cs="Quattrocento Sans"/>
          <w:sz w:val="24"/>
          <w:szCs w:val="24"/>
          <w:lang w:val="fr-FR"/>
        </w:rPr>
        <w:t>Plan</w:t>
      </w:r>
      <w:r w:rsidR="008041E6">
        <w:rPr>
          <w:rFonts w:ascii="Quattrocento Sans" w:eastAsia="Quattrocento Sans" w:hAnsi="Quattrocento Sans" w:cs="Quattrocento Sans"/>
          <w:sz w:val="24"/>
          <w:szCs w:val="24"/>
          <w:lang w:val="fr-FR"/>
        </w:rPr>
        <w:t xml:space="preserve"> de cours </w:t>
      </w:r>
    </w:p>
    <w:p w:rsidR="009E1A17" w:rsidRPr="008041E6" w:rsidRDefault="008041E6" w:rsidP="008041E6">
      <w:pPr>
        <w:jc w:val="both"/>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afin d'évaluer la convivialité et la qualité de l'activité que vous avez réalisée avec eux</w:t>
      </w:r>
      <w:proofErr w:type="gramStart"/>
      <w:r w:rsidRPr="008041E6">
        <w:rPr>
          <w:rFonts w:ascii="Quattrocento Sans" w:eastAsia="Quattrocento Sans" w:hAnsi="Quattrocento Sans" w:cs="Quattrocento Sans"/>
          <w:color w:val="000000"/>
          <w:sz w:val="24"/>
          <w:szCs w:val="24"/>
          <w:lang w:val="fr-FR"/>
        </w:rPr>
        <w:t>.</w:t>
      </w:r>
      <w:r w:rsidR="00775E82" w:rsidRPr="008041E6">
        <w:rPr>
          <w:rFonts w:ascii="Quattrocento Sans" w:eastAsia="Quattrocento Sans" w:hAnsi="Quattrocento Sans" w:cs="Quattrocento Sans"/>
          <w:color w:val="000000"/>
          <w:sz w:val="24"/>
          <w:szCs w:val="24"/>
          <w:lang w:val="fr-FR"/>
        </w:rPr>
        <w:t>.</w:t>
      </w:r>
      <w:proofErr w:type="gramEnd"/>
      <w:r w:rsidR="00775E82" w:rsidRPr="008041E6">
        <w:rPr>
          <w:rFonts w:ascii="Quattrocento Sans" w:eastAsia="Quattrocento Sans" w:hAnsi="Quattrocento Sans" w:cs="Quattrocento Sans"/>
          <w:color w:val="000000"/>
          <w:sz w:val="24"/>
          <w:szCs w:val="24"/>
          <w:lang w:val="fr-FR"/>
        </w:rPr>
        <w:t xml:space="preserve"> </w:t>
      </w:r>
    </w:p>
    <w:p w:rsidR="009E1A17" w:rsidRPr="008041E6" w:rsidRDefault="009E1A17">
      <w:pPr>
        <w:rPr>
          <w:rFonts w:ascii="Quattrocento Sans" w:eastAsia="Quattrocento Sans" w:hAnsi="Quattrocento Sans" w:cs="Quattrocento Sans"/>
          <w:color w:val="000000"/>
          <w:sz w:val="24"/>
          <w:szCs w:val="24"/>
          <w:lang w:val="fr-FR"/>
        </w:rPr>
      </w:pPr>
    </w:p>
    <w:p w:rsidR="009E1A17" w:rsidRPr="008041E6" w:rsidRDefault="008041E6" w:rsidP="008041E6">
      <w:pPr>
        <w:jc w:val="both"/>
        <w:rPr>
          <w:rFonts w:ascii="Quattrocento Sans" w:eastAsia="Quattrocento Sans" w:hAnsi="Quattrocento Sans" w:cs="Quattrocento Sans"/>
          <w:i/>
          <w:color w:val="000000"/>
          <w:sz w:val="24"/>
          <w:szCs w:val="24"/>
          <w:lang w:val="fr-FR"/>
        </w:rPr>
      </w:pPr>
      <w:r w:rsidRPr="008041E6">
        <w:rPr>
          <w:rFonts w:ascii="Quattrocento Sans" w:eastAsia="Quattrocento Sans" w:hAnsi="Quattrocento Sans" w:cs="Quattrocento Sans"/>
          <w:color w:val="000000"/>
          <w:sz w:val="24"/>
          <w:szCs w:val="24"/>
          <w:lang w:val="fr-FR"/>
        </w:rPr>
        <w:t xml:space="preserve">Le sujet de ce manuel concerne les ressources vidéo </w:t>
      </w:r>
      <w:r w:rsidRPr="008041E6">
        <w:rPr>
          <w:rFonts w:ascii="Quattrocento Sans" w:eastAsia="Quattrocento Sans" w:hAnsi="Quattrocento Sans" w:cs="Quattrocento Sans"/>
          <w:i/>
          <w:color w:val="000000"/>
          <w:sz w:val="24"/>
          <w:szCs w:val="24"/>
          <w:lang w:val="fr-FR"/>
        </w:rPr>
        <w:t>Compétence multilingue et Thème numérique et social.</w:t>
      </w:r>
    </w:p>
    <w:p w:rsidR="009E1A17" w:rsidRPr="008041E6" w:rsidRDefault="009E1A17">
      <w:pPr>
        <w:rPr>
          <w:rFonts w:ascii="Quattrocento Sans" w:eastAsia="Quattrocento Sans" w:hAnsi="Quattrocento Sans" w:cs="Quattrocento Sans"/>
          <w:i/>
          <w:color w:val="000000"/>
          <w:sz w:val="24"/>
          <w:szCs w:val="24"/>
          <w:lang w:val="fr-FR"/>
        </w:rPr>
      </w:pPr>
    </w:p>
    <w:p w:rsidR="009E1A17" w:rsidRPr="008041E6" w:rsidRDefault="008041E6">
      <w:pPr>
        <w:pStyle w:val="Titre2"/>
        <w:rPr>
          <w:rFonts w:ascii="Quattrocento Sans" w:eastAsia="Quattrocento Sans" w:hAnsi="Quattrocento Sans" w:cs="Quattrocento Sans"/>
          <w:sz w:val="24"/>
          <w:szCs w:val="24"/>
          <w:lang w:val="fr-FR"/>
        </w:rPr>
      </w:pPr>
      <w:r w:rsidRPr="008041E6">
        <w:rPr>
          <w:rFonts w:ascii="Quattrocento Sans" w:eastAsia="Quattrocento Sans" w:hAnsi="Quattrocento Sans" w:cs="Quattrocento Sans"/>
          <w:sz w:val="24"/>
          <w:szCs w:val="24"/>
          <w:lang w:val="fr-FR"/>
        </w:rPr>
        <w:t xml:space="preserve">Introduction au sujet </w:t>
      </w:r>
    </w:p>
    <w:p w:rsidR="009E1A17" w:rsidRPr="008041E6" w:rsidRDefault="009E1A17">
      <w:pPr>
        <w:rPr>
          <w:lang w:val="fr-FR"/>
        </w:rPr>
      </w:pPr>
    </w:p>
    <w:p w:rsidR="009E1A17" w:rsidRPr="008041E6" w:rsidRDefault="008041E6">
      <w:pPr>
        <w:jc w:val="both"/>
        <w:rPr>
          <w:rFonts w:ascii="Quattrocento Sans" w:eastAsia="Quattrocento Sans" w:hAnsi="Quattrocento Sans" w:cs="Quattrocento Sans"/>
          <w:sz w:val="24"/>
          <w:szCs w:val="24"/>
          <w:lang w:val="fr-FR"/>
        </w:rPr>
      </w:pPr>
      <w:r w:rsidRPr="008041E6">
        <w:rPr>
          <w:rFonts w:ascii="Quattrocento Sans" w:eastAsia="Quattrocento Sans" w:hAnsi="Quattrocento Sans" w:cs="Quattrocento Sans"/>
          <w:sz w:val="24"/>
          <w:szCs w:val="24"/>
          <w:lang w:val="fr-FR"/>
        </w:rPr>
        <w:t xml:space="preserve">Dans cette ressource, nous nous plongerons dans le domaine fascinant des médias numériques et de la communication interculturelle. Nos participants recevront une connaissance pratique de la nature globale des médias numériques et de leur impact sur la société en tant qu'apprenants adultes. Nous verrons comment la communication multilingue et le </w:t>
      </w:r>
      <w:proofErr w:type="spellStart"/>
      <w:r w:rsidRPr="008041E6">
        <w:rPr>
          <w:rFonts w:ascii="Quattrocento Sans" w:eastAsia="Quattrocento Sans" w:hAnsi="Quattrocento Sans" w:cs="Quattrocento Sans"/>
          <w:sz w:val="24"/>
          <w:szCs w:val="24"/>
          <w:lang w:val="fr-FR"/>
        </w:rPr>
        <w:t>transnationalisme</w:t>
      </w:r>
      <w:proofErr w:type="spellEnd"/>
      <w:r w:rsidRPr="008041E6">
        <w:rPr>
          <w:rFonts w:ascii="Quattrocento Sans" w:eastAsia="Quattrocento Sans" w:hAnsi="Quattrocento Sans" w:cs="Quattrocento Sans"/>
          <w:sz w:val="24"/>
          <w:szCs w:val="24"/>
          <w:lang w:val="fr-FR"/>
        </w:rPr>
        <w:t xml:space="preserve"> influencent les habitudes et les conventions en matière de médias numériques. En outre, la vidéo donnera aux étudiants la capacité de produire, de conserver et de diffuser du matériel multimédia, promouvant ainsi la communication et la compréhension à l'échelle mondiale. À la fin de cette ressource, vos élèves apprécieront l'inclusion et la diversité, et comprendront l'intérêt de s'engager avec d'autres perspectives et groupes par le biai</w:t>
      </w:r>
      <w:r>
        <w:rPr>
          <w:rFonts w:ascii="Quattrocento Sans" w:eastAsia="Quattrocento Sans" w:hAnsi="Quattrocento Sans" w:cs="Quattrocento Sans"/>
          <w:sz w:val="24"/>
          <w:szCs w:val="24"/>
          <w:lang w:val="fr-FR"/>
        </w:rPr>
        <w:t>s des médias numériques</w:t>
      </w:r>
      <w:r w:rsidR="00775E82" w:rsidRPr="008041E6">
        <w:rPr>
          <w:rFonts w:ascii="Quattrocento Sans" w:eastAsia="Quattrocento Sans" w:hAnsi="Quattrocento Sans" w:cs="Quattrocento Sans"/>
          <w:sz w:val="24"/>
          <w:szCs w:val="24"/>
          <w:lang w:val="fr-FR"/>
        </w:rPr>
        <w:t xml:space="preserve">. </w:t>
      </w:r>
    </w:p>
    <w:p w:rsidR="009E1A17" w:rsidRPr="008041E6" w:rsidRDefault="009E1A17">
      <w:pPr>
        <w:rPr>
          <w:rFonts w:ascii="Quattrocento Sans" w:eastAsia="Quattrocento Sans" w:hAnsi="Quattrocento Sans" w:cs="Quattrocento Sans"/>
          <w:sz w:val="24"/>
          <w:szCs w:val="24"/>
          <w:lang w:val="fr-FR"/>
        </w:rPr>
      </w:pPr>
    </w:p>
    <w:p w:rsidR="009E1A17" w:rsidRPr="008041E6" w:rsidRDefault="009E1A17">
      <w:pPr>
        <w:rPr>
          <w:rFonts w:ascii="Quattrocento Sans" w:eastAsia="Quattrocento Sans" w:hAnsi="Quattrocento Sans" w:cs="Quattrocento Sans"/>
          <w:sz w:val="24"/>
          <w:szCs w:val="24"/>
          <w:lang w:val="fr-FR"/>
        </w:rPr>
      </w:pPr>
    </w:p>
    <w:p w:rsidR="009E1A17" w:rsidRPr="008041E6" w:rsidRDefault="008041E6">
      <w:pPr>
        <w:pStyle w:val="Titre2"/>
        <w:rPr>
          <w:rFonts w:ascii="Quattrocento Sans" w:eastAsia="Quattrocento Sans" w:hAnsi="Quattrocento Sans" w:cs="Quattrocento Sans"/>
          <w:sz w:val="24"/>
          <w:szCs w:val="24"/>
          <w:lang w:val="fr-FR"/>
        </w:rPr>
      </w:pPr>
      <w:r w:rsidRPr="008041E6">
        <w:rPr>
          <w:rFonts w:ascii="Quattrocento Sans" w:eastAsia="Quattrocento Sans" w:hAnsi="Quattrocento Sans" w:cs="Quattrocento Sans"/>
          <w:sz w:val="24"/>
          <w:szCs w:val="24"/>
          <w:lang w:val="fr-FR"/>
        </w:rPr>
        <w:lastRenderedPageBreak/>
        <w:t xml:space="preserve">Introduction à l’activité </w:t>
      </w:r>
    </w:p>
    <w:p w:rsidR="009E1A17" w:rsidRPr="008041E6" w:rsidRDefault="009E1A17">
      <w:pPr>
        <w:rPr>
          <w:lang w:val="fr-FR"/>
        </w:rPr>
      </w:pPr>
    </w:p>
    <w:p w:rsidR="009E1A17" w:rsidRDefault="008041E6">
      <w:pPr>
        <w:jc w:val="both"/>
        <w:rPr>
          <w:rFonts w:ascii="Quattrocento Sans" w:eastAsia="Quattrocento Sans" w:hAnsi="Quattrocento Sans" w:cs="Quattrocento Sans"/>
          <w:sz w:val="24"/>
          <w:szCs w:val="24"/>
          <w:lang w:val="fr-FR"/>
        </w:rPr>
      </w:pPr>
      <w:r w:rsidRPr="008041E6">
        <w:rPr>
          <w:rFonts w:ascii="Quattrocento Sans" w:eastAsia="Quattrocento Sans" w:hAnsi="Quattrocento Sans" w:cs="Quattrocento Sans"/>
          <w:sz w:val="24"/>
          <w:szCs w:val="24"/>
          <w:lang w:val="fr-FR"/>
        </w:rPr>
        <w:t>L'activité d'accompagnement consiste en une étude de cas basée sur un scénario réel dans lequel les apprenants utilisent leurs connaissances des médias numériques et de la communication interculturelle. Ils développeront du matériel multimédia qui promeut l'inclusion et rapproche les cultures en utilisant les outils et les techniques des médias numériques. Cette tâche permettra aux apprenants de mettre en pratique les principes abordés dans la ressource vidéo et de développer leur esprit critique.</w:t>
      </w:r>
    </w:p>
    <w:p w:rsidR="008041E6" w:rsidRPr="008041E6" w:rsidRDefault="008041E6">
      <w:pPr>
        <w:jc w:val="both"/>
        <w:rPr>
          <w:rFonts w:ascii="Quattrocento Sans" w:eastAsia="Quattrocento Sans" w:hAnsi="Quattrocento Sans" w:cs="Quattrocento Sans"/>
          <w:sz w:val="24"/>
          <w:szCs w:val="24"/>
          <w:lang w:val="fr-FR"/>
        </w:rPr>
      </w:pPr>
    </w:p>
    <w:p w:rsidR="009E1A17" w:rsidRDefault="00775E82">
      <w:pPr>
        <w:pStyle w:val="Titre2"/>
        <w:rPr>
          <w:rFonts w:ascii="Quattrocento Sans" w:eastAsia="Quattrocento Sans" w:hAnsi="Quattrocento Sans" w:cs="Quattrocento Sans"/>
          <w:sz w:val="24"/>
          <w:szCs w:val="24"/>
          <w:lang w:val="fr-FR"/>
        </w:rPr>
      </w:pPr>
      <w:r w:rsidRPr="008041E6">
        <w:rPr>
          <w:rFonts w:ascii="Quattrocento Sans" w:eastAsia="Quattrocento Sans" w:hAnsi="Quattrocento Sans" w:cs="Quattrocento Sans"/>
          <w:sz w:val="24"/>
          <w:szCs w:val="24"/>
          <w:lang w:val="fr-FR"/>
        </w:rPr>
        <w:t>U</w:t>
      </w:r>
      <w:r w:rsidR="008041E6" w:rsidRPr="008041E6">
        <w:rPr>
          <w:rFonts w:ascii="Quattrocento Sans" w:eastAsia="Quattrocento Sans" w:hAnsi="Quattrocento Sans" w:cs="Quattrocento Sans"/>
          <w:sz w:val="24"/>
          <w:szCs w:val="24"/>
          <w:lang w:val="fr-FR"/>
        </w:rPr>
        <w:t>tiliser cette ressource avec un groupe</w:t>
      </w:r>
    </w:p>
    <w:p w:rsidR="008041E6" w:rsidRPr="008041E6" w:rsidRDefault="008041E6" w:rsidP="008041E6">
      <w:pPr>
        <w:rPr>
          <w:lang w:val="fr-FR"/>
        </w:rPr>
      </w:pPr>
    </w:p>
    <w:p w:rsidR="008041E6" w:rsidRPr="008041E6" w:rsidRDefault="008041E6">
      <w:pPr>
        <w:shd w:val="clear" w:color="auto" w:fill="FFFFFF"/>
        <w:spacing w:after="225" w:line="360" w:lineRule="auto"/>
        <w:jc w:val="both"/>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t xml:space="preserve">Pour utiliser cette ressource avec les apprenants adultes de votre groupe local, nous vous recommandons de commencer par leur montrer la ressource vidéo pour introduire le thème </w:t>
      </w:r>
      <w:r w:rsidRPr="008041E6">
        <w:rPr>
          <w:rFonts w:ascii="Quattrocento Sans" w:eastAsia="Quattrocento Sans" w:hAnsi="Quattrocento Sans" w:cs="Quattrocento Sans"/>
          <w:i/>
          <w:color w:val="000000"/>
          <w:sz w:val="24"/>
          <w:szCs w:val="24"/>
          <w:lang w:val="fr-FR"/>
        </w:rPr>
        <w:t>des médias numériques et de la compétence multilingue</w:t>
      </w:r>
      <w:r w:rsidRPr="008041E6">
        <w:rPr>
          <w:rFonts w:ascii="Quattrocento Sans" w:eastAsia="Quattrocento Sans" w:hAnsi="Quattrocento Sans" w:cs="Quattrocento Sans"/>
          <w:color w:val="000000"/>
          <w:sz w:val="24"/>
          <w:szCs w:val="24"/>
          <w:lang w:val="fr-FR"/>
        </w:rPr>
        <w:t>.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Il faut compter une heure pour compléter cette ressource</w:t>
      </w:r>
      <w:r w:rsidR="00775E82" w:rsidRPr="008041E6">
        <w:rPr>
          <w:rFonts w:ascii="Quattrocento Sans" w:eastAsia="Quattrocento Sans" w:hAnsi="Quattrocento Sans" w:cs="Quattrocento Sans"/>
          <w:color w:val="000000"/>
          <w:sz w:val="24"/>
          <w:szCs w:val="24"/>
          <w:lang w:val="fr-FR"/>
        </w:rPr>
        <w:t>.</w:t>
      </w:r>
    </w:p>
    <w:p w:rsidR="009E1A17" w:rsidRPr="008041E6" w:rsidRDefault="00775E82">
      <w:pPr>
        <w:pStyle w:val="Titre2"/>
        <w:rPr>
          <w:rFonts w:ascii="Quattrocento Sans" w:eastAsia="Quattrocento Sans" w:hAnsi="Quattrocento Sans" w:cs="Quattrocento Sans"/>
          <w:sz w:val="24"/>
          <w:szCs w:val="24"/>
          <w:lang w:val="fr-FR"/>
        </w:rPr>
      </w:pPr>
      <w:r w:rsidRPr="008041E6">
        <w:rPr>
          <w:rFonts w:ascii="Quattrocento Sans" w:eastAsia="Quattrocento Sans" w:hAnsi="Quattrocento Sans" w:cs="Quattrocento Sans"/>
          <w:sz w:val="24"/>
          <w:szCs w:val="24"/>
          <w:lang w:val="fr-FR"/>
        </w:rPr>
        <w:t>Questions</w:t>
      </w:r>
      <w:r w:rsidR="008041E6">
        <w:rPr>
          <w:rFonts w:ascii="Quattrocento Sans" w:eastAsia="Quattrocento Sans" w:hAnsi="Quattrocento Sans" w:cs="Quattrocento Sans"/>
          <w:sz w:val="24"/>
          <w:szCs w:val="24"/>
          <w:lang w:val="fr-FR"/>
        </w:rPr>
        <w:t xml:space="preserve"> de débriefing </w:t>
      </w:r>
    </w:p>
    <w:p w:rsidR="009E1A17" w:rsidRPr="008041E6" w:rsidRDefault="009E1A17">
      <w:pPr>
        <w:rPr>
          <w:lang w:val="fr-FR"/>
        </w:rPr>
      </w:pPr>
    </w:p>
    <w:p w:rsidR="008041E6" w:rsidRPr="008041E6" w:rsidRDefault="008041E6" w:rsidP="008041E6">
      <w:pPr>
        <w:numPr>
          <w:ilvl w:val="0"/>
          <w:numId w:val="1"/>
        </w:numPr>
        <w:pBdr>
          <w:top w:val="nil"/>
          <w:left w:val="nil"/>
          <w:bottom w:val="nil"/>
          <w:right w:val="nil"/>
          <w:between w:val="nil"/>
        </w:pBdr>
        <w:spacing w:line="276" w:lineRule="auto"/>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t>Quel rôle pensez-vous que les médias numériques peuvent jouer dans la promotion de la compréhension interculturelle et de l'</w:t>
      </w:r>
      <w:proofErr w:type="spellStart"/>
      <w:r w:rsidRPr="008041E6">
        <w:rPr>
          <w:rFonts w:ascii="Quattrocento Sans" w:eastAsia="Quattrocento Sans" w:hAnsi="Quattrocento Sans" w:cs="Quattrocento Sans"/>
          <w:color w:val="000000"/>
          <w:sz w:val="24"/>
          <w:szCs w:val="24"/>
          <w:lang w:val="fr-FR"/>
        </w:rPr>
        <w:t>inclusivité</w:t>
      </w:r>
      <w:proofErr w:type="spellEnd"/>
      <w:r w:rsidRPr="008041E6">
        <w:rPr>
          <w:rFonts w:ascii="Quattrocento Sans" w:eastAsia="Quattrocento Sans" w:hAnsi="Quattrocento Sans" w:cs="Quattrocento Sans"/>
          <w:color w:val="000000"/>
          <w:sz w:val="24"/>
          <w:szCs w:val="24"/>
          <w:lang w:val="fr-FR"/>
        </w:rPr>
        <w:t xml:space="preserve"> ?</w:t>
      </w:r>
    </w:p>
    <w:p w:rsidR="008041E6" w:rsidRPr="008041E6" w:rsidRDefault="008041E6" w:rsidP="008041E6">
      <w:pPr>
        <w:pBdr>
          <w:top w:val="nil"/>
          <w:left w:val="nil"/>
          <w:bottom w:val="nil"/>
          <w:right w:val="nil"/>
          <w:between w:val="nil"/>
        </w:pBdr>
        <w:spacing w:line="276" w:lineRule="auto"/>
        <w:ind w:left="360"/>
        <w:rPr>
          <w:rFonts w:ascii="Quattrocento Sans" w:eastAsia="Quattrocento Sans" w:hAnsi="Quattrocento Sans" w:cs="Quattrocento Sans"/>
          <w:color w:val="000000"/>
          <w:sz w:val="24"/>
          <w:szCs w:val="24"/>
          <w:lang w:val="fr-FR"/>
        </w:rPr>
      </w:pPr>
    </w:p>
    <w:p w:rsidR="008041E6" w:rsidRPr="008041E6" w:rsidRDefault="008041E6" w:rsidP="008041E6">
      <w:pPr>
        <w:numPr>
          <w:ilvl w:val="0"/>
          <w:numId w:val="1"/>
        </w:numPr>
        <w:pBdr>
          <w:top w:val="nil"/>
          <w:left w:val="nil"/>
          <w:bottom w:val="nil"/>
          <w:right w:val="nil"/>
          <w:between w:val="nil"/>
        </w:pBdr>
        <w:spacing w:line="276" w:lineRule="auto"/>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t>Quelles difficult</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s avez-vous rencontr</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es en travaillant sur l'activit</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 xml:space="preserve"> de d</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veloppement de contenu multim</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dia, et comment les avez-vous surmont</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es ?</w:t>
      </w:r>
    </w:p>
    <w:p w:rsidR="008041E6" w:rsidRPr="008041E6" w:rsidRDefault="008041E6" w:rsidP="008041E6">
      <w:pPr>
        <w:pBdr>
          <w:top w:val="nil"/>
          <w:left w:val="nil"/>
          <w:bottom w:val="nil"/>
          <w:right w:val="nil"/>
          <w:between w:val="nil"/>
        </w:pBdr>
        <w:spacing w:line="276" w:lineRule="auto"/>
        <w:ind w:left="360"/>
        <w:rPr>
          <w:rFonts w:ascii="Quattrocento Sans" w:eastAsia="Quattrocento Sans" w:hAnsi="Quattrocento Sans" w:cs="Quattrocento Sans"/>
          <w:color w:val="000000"/>
          <w:sz w:val="24"/>
          <w:szCs w:val="24"/>
          <w:lang w:val="fr-FR"/>
        </w:rPr>
      </w:pPr>
    </w:p>
    <w:p w:rsidR="008041E6" w:rsidRPr="008041E6" w:rsidRDefault="008041E6" w:rsidP="008041E6">
      <w:pPr>
        <w:numPr>
          <w:ilvl w:val="0"/>
          <w:numId w:val="1"/>
        </w:numPr>
        <w:pBdr>
          <w:top w:val="nil"/>
          <w:left w:val="nil"/>
          <w:bottom w:val="nil"/>
          <w:right w:val="nil"/>
          <w:between w:val="nil"/>
        </w:pBdr>
        <w:spacing w:line="276" w:lineRule="auto"/>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t>Quel impact cette exp</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rience d'apprentissage a-t-elle eu sur votre compr</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hension de la nature globale des m</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dias num</w:t>
      </w:r>
      <w:r w:rsidRPr="008041E6">
        <w:rPr>
          <w:rFonts w:ascii="___WRD_EMBED_SUB_320" w:eastAsia="Quattrocento Sans" w:hAnsi="___WRD_EMBED_SUB_320" w:cs="___WRD_EMBED_SUB_320"/>
          <w:color w:val="000000"/>
          <w:sz w:val="24"/>
          <w:szCs w:val="24"/>
          <w:lang w:val="fr-FR"/>
        </w:rPr>
        <w:t>é</w:t>
      </w:r>
      <w:r w:rsidRPr="008041E6">
        <w:rPr>
          <w:rFonts w:ascii="Quattrocento Sans" w:eastAsia="Quattrocento Sans" w:hAnsi="Quattrocento Sans" w:cs="Quattrocento Sans"/>
          <w:color w:val="000000"/>
          <w:sz w:val="24"/>
          <w:szCs w:val="24"/>
          <w:lang w:val="fr-FR"/>
        </w:rPr>
        <w:t>riques et de l'importance de la communication interculturelle ?</w:t>
      </w:r>
    </w:p>
    <w:p w:rsidR="008041E6" w:rsidRPr="008041E6" w:rsidRDefault="008041E6" w:rsidP="008041E6">
      <w:pPr>
        <w:pBdr>
          <w:top w:val="nil"/>
          <w:left w:val="nil"/>
          <w:bottom w:val="nil"/>
          <w:right w:val="nil"/>
          <w:between w:val="nil"/>
        </w:pBdr>
        <w:spacing w:line="276" w:lineRule="auto"/>
        <w:rPr>
          <w:rFonts w:ascii="Quattrocento Sans" w:eastAsia="Quattrocento Sans" w:hAnsi="Quattrocento Sans" w:cs="Quattrocento Sans"/>
          <w:color w:val="000000"/>
          <w:sz w:val="24"/>
          <w:szCs w:val="24"/>
          <w:lang w:val="fr-FR"/>
        </w:rPr>
      </w:pPr>
    </w:p>
    <w:p w:rsidR="009E1A17" w:rsidRDefault="008041E6" w:rsidP="008041E6">
      <w:pPr>
        <w:numPr>
          <w:ilvl w:val="0"/>
          <w:numId w:val="1"/>
        </w:numPr>
        <w:pBdr>
          <w:top w:val="nil"/>
          <w:left w:val="nil"/>
          <w:bottom w:val="nil"/>
          <w:right w:val="nil"/>
          <w:between w:val="nil"/>
        </w:pBdr>
        <w:spacing w:line="276" w:lineRule="auto"/>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lastRenderedPageBreak/>
        <w:t xml:space="preserve">Comment pouvez-vous mettre en </w:t>
      </w:r>
      <w:r w:rsidRPr="008041E6">
        <w:rPr>
          <w:rFonts w:ascii="___WRD_EMBED_SUB_320" w:eastAsia="Quattrocento Sans" w:hAnsi="___WRD_EMBED_SUB_320" w:cs="___WRD_EMBED_SUB_320"/>
          <w:color w:val="000000"/>
          <w:sz w:val="24"/>
          <w:szCs w:val="24"/>
          <w:lang w:val="fr-FR"/>
        </w:rPr>
        <w:t>œ</w:t>
      </w:r>
      <w:r w:rsidRPr="008041E6">
        <w:rPr>
          <w:rFonts w:ascii="Quattrocento Sans" w:eastAsia="Quattrocento Sans" w:hAnsi="Quattrocento Sans" w:cs="Quattrocento Sans"/>
          <w:color w:val="000000"/>
          <w:sz w:val="24"/>
          <w:szCs w:val="24"/>
          <w:lang w:val="fr-FR"/>
        </w:rPr>
        <w:t>uvre ce que vous avez appris gr</w:t>
      </w:r>
      <w:r w:rsidRPr="008041E6">
        <w:rPr>
          <w:rFonts w:ascii="___WRD_EMBED_SUB_320" w:eastAsia="Quattrocento Sans" w:hAnsi="___WRD_EMBED_SUB_320" w:cs="___WRD_EMBED_SUB_320"/>
          <w:color w:val="000000"/>
          <w:sz w:val="24"/>
          <w:szCs w:val="24"/>
          <w:lang w:val="fr-FR"/>
        </w:rPr>
        <w:t>â</w:t>
      </w:r>
      <w:r w:rsidRPr="008041E6">
        <w:rPr>
          <w:rFonts w:ascii="Quattrocento Sans" w:eastAsia="Quattrocento Sans" w:hAnsi="Quattrocento Sans" w:cs="Quattrocento Sans"/>
          <w:color w:val="000000"/>
          <w:sz w:val="24"/>
          <w:szCs w:val="24"/>
          <w:lang w:val="fr-FR"/>
        </w:rPr>
        <w:t xml:space="preserve">ce </w:t>
      </w:r>
      <w:r w:rsidRPr="008041E6">
        <w:rPr>
          <w:rFonts w:ascii="___WRD_EMBED_SUB_320" w:eastAsia="Quattrocento Sans" w:hAnsi="___WRD_EMBED_SUB_320" w:cs="___WRD_EMBED_SUB_320"/>
          <w:color w:val="000000"/>
          <w:sz w:val="24"/>
          <w:szCs w:val="24"/>
          <w:lang w:val="fr-FR"/>
        </w:rPr>
        <w:t>à</w:t>
      </w:r>
      <w:r w:rsidRPr="008041E6">
        <w:rPr>
          <w:rFonts w:ascii="Quattrocento Sans" w:eastAsia="Quattrocento Sans" w:hAnsi="Quattrocento Sans" w:cs="Quattrocento Sans"/>
          <w:color w:val="000000"/>
          <w:sz w:val="24"/>
          <w:szCs w:val="24"/>
          <w:lang w:val="fr-FR"/>
        </w:rPr>
        <w:t xml:space="preserve"> cette ressource dans votre vie personnelle ou professionnelle ?</w:t>
      </w:r>
    </w:p>
    <w:p w:rsidR="008041E6" w:rsidRDefault="008041E6" w:rsidP="008041E6">
      <w:pPr>
        <w:pStyle w:val="Paragraphedeliste"/>
        <w:rPr>
          <w:rFonts w:ascii="Quattrocento Sans" w:eastAsia="Quattrocento Sans" w:hAnsi="Quattrocento Sans" w:cs="Quattrocento Sans"/>
          <w:color w:val="000000"/>
          <w:sz w:val="24"/>
          <w:szCs w:val="24"/>
          <w:lang w:val="fr-FR"/>
        </w:rPr>
      </w:pPr>
    </w:p>
    <w:p w:rsidR="008041E6" w:rsidRPr="008041E6" w:rsidRDefault="008041E6" w:rsidP="008041E6">
      <w:pPr>
        <w:pBdr>
          <w:top w:val="nil"/>
          <w:left w:val="nil"/>
          <w:bottom w:val="nil"/>
          <w:right w:val="nil"/>
          <w:between w:val="nil"/>
        </w:pBdr>
        <w:spacing w:line="276" w:lineRule="auto"/>
        <w:ind w:left="360"/>
        <w:rPr>
          <w:rFonts w:ascii="Quattrocento Sans" w:eastAsia="Quattrocento Sans" w:hAnsi="Quattrocento Sans" w:cs="Quattrocento Sans"/>
          <w:color w:val="000000"/>
          <w:sz w:val="24"/>
          <w:szCs w:val="24"/>
          <w:lang w:val="fr-FR"/>
        </w:rPr>
      </w:pPr>
    </w:p>
    <w:p w:rsidR="008041E6" w:rsidRPr="008041E6" w:rsidRDefault="008041E6" w:rsidP="008041E6">
      <w:pPr>
        <w:pBdr>
          <w:top w:val="nil"/>
          <w:left w:val="nil"/>
          <w:bottom w:val="nil"/>
          <w:right w:val="nil"/>
          <w:between w:val="nil"/>
        </w:pBdr>
        <w:jc w:val="both"/>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t>Veuillez donner un exemple de la manière dont la diversité dans les techniques des médias numériques peut avoir un impact social bénéfique.</w:t>
      </w:r>
    </w:p>
    <w:p w:rsidR="009E1A17" w:rsidRDefault="008041E6" w:rsidP="008041E6">
      <w:pPr>
        <w:pBdr>
          <w:top w:val="nil"/>
          <w:left w:val="nil"/>
          <w:bottom w:val="nil"/>
          <w:right w:val="nil"/>
          <w:between w:val="nil"/>
        </w:pBdr>
        <w:jc w:val="both"/>
        <w:rPr>
          <w:rFonts w:ascii="Quattrocento Sans" w:eastAsia="Quattrocento Sans" w:hAnsi="Quattrocento Sans" w:cs="Quattrocento Sans"/>
          <w:color w:val="000000"/>
          <w:sz w:val="24"/>
          <w:szCs w:val="24"/>
          <w:lang w:val="fr-FR"/>
        </w:rPr>
      </w:pPr>
      <w:r w:rsidRPr="008041E6">
        <w:rPr>
          <w:rFonts w:ascii="Quattrocento Sans" w:eastAsia="Quattrocento Sans" w:hAnsi="Quattrocento Sans" w:cs="Quattrocento Sans"/>
          <w:color w:val="000000"/>
          <w:sz w:val="24"/>
          <w:szCs w:val="24"/>
          <w:lang w:val="fr-FR"/>
        </w:rPr>
        <w:t>Vous permettrez à des apprenants adultes peu qualifiés de parcourir le paysage numérique en toute confiance en utilisant ce manuel pédagogique et les supports vidéo qui l'accompagnent, en favorisant la compréhension et l'inclusion dans leurs interactions, et en contribuant à un monde plus connecté.</w:t>
      </w:r>
    </w:p>
    <w:p w:rsidR="008041E6" w:rsidRPr="008041E6" w:rsidRDefault="008041E6" w:rsidP="008041E6">
      <w:pPr>
        <w:pBdr>
          <w:top w:val="nil"/>
          <w:left w:val="nil"/>
          <w:bottom w:val="nil"/>
          <w:right w:val="nil"/>
          <w:between w:val="nil"/>
        </w:pBdr>
        <w:jc w:val="both"/>
        <w:rPr>
          <w:rFonts w:ascii="Quattrocento Sans" w:eastAsia="Quattrocento Sans" w:hAnsi="Quattrocento Sans" w:cs="Quattrocento Sans"/>
          <w:color w:val="000000"/>
          <w:sz w:val="24"/>
          <w:szCs w:val="24"/>
          <w:lang w:val="fr-FR"/>
        </w:rPr>
      </w:pPr>
      <w:bookmarkStart w:id="0" w:name="_GoBack"/>
      <w:bookmarkEnd w:id="0"/>
    </w:p>
    <w:p w:rsidR="009E1A17" w:rsidRDefault="00775E82">
      <w:pPr>
        <w:pBdr>
          <w:top w:val="nil"/>
          <w:left w:val="nil"/>
          <w:bottom w:val="nil"/>
          <w:right w:val="nil"/>
          <w:between w:val="nil"/>
        </w:pBdr>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Sources:</w:t>
      </w:r>
    </w:p>
    <w:p w:rsidR="009E1A17" w:rsidRDefault="00775E82">
      <w:pPr>
        <w:rPr>
          <w:sz w:val="24"/>
          <w:szCs w:val="24"/>
        </w:rPr>
      </w:pPr>
      <w:r>
        <w:rPr>
          <w:sz w:val="24"/>
          <w:szCs w:val="24"/>
        </w:rPr>
        <w:t>Integrating Social Factors into Cross-cultural Medical Education</w:t>
      </w:r>
    </w:p>
    <w:p w:rsidR="009E1A17" w:rsidRDefault="00775E82">
      <w:hyperlink r:id="rId10">
        <w:r>
          <w:rPr>
            <w:color w:val="0563C1"/>
            <w:u w:val="single"/>
          </w:rPr>
          <w:t>https://journals.lww.com/academicmedicine/Fulltext/2002/03000/Integrating_Social_Factors_into_Cross_cultural.3.aspx</w:t>
        </w:r>
      </w:hyperlink>
      <w:r>
        <w:t xml:space="preserve"> </w:t>
      </w:r>
    </w:p>
    <w:p w:rsidR="009E1A17" w:rsidRDefault="00775E82">
      <w:r>
        <w:t>Green,</w:t>
      </w:r>
      <w:r>
        <w:t xml:space="preserve"> Alexander R. MD; Betancourt, Joseph R. MD, MPH; Carrillo, J. Emilio MD, MPH</w:t>
      </w:r>
    </w:p>
    <w:p w:rsidR="009E1A17" w:rsidRDefault="00775E82">
      <w:r>
        <w:t>Academic Medicine 77(3)</w:t>
      </w:r>
      <w:proofErr w:type="gramStart"/>
      <w:r>
        <w:t>:p</w:t>
      </w:r>
      <w:proofErr w:type="gramEnd"/>
      <w:r>
        <w:t xml:space="preserve"> 193-197, March 2002.</w:t>
      </w:r>
    </w:p>
    <w:p w:rsidR="009E1A17" w:rsidRDefault="009E1A17"/>
    <w:p w:rsidR="009E1A17" w:rsidRDefault="00775E82">
      <w:r>
        <w:rPr>
          <w:sz w:val="24"/>
          <w:szCs w:val="24"/>
        </w:rPr>
        <w:t>Research Anthology on Adult Education and the Development of Lifelong Learners</w:t>
      </w:r>
    </w:p>
    <w:p w:rsidR="009E1A17" w:rsidRDefault="00775E82">
      <w:hyperlink r:id="rId11">
        <w:r>
          <w:rPr>
            <w:color w:val="0563C1"/>
            <w:u w:val="single"/>
          </w:rPr>
          <w:t>https://www.igi-global.com/chapter/adult-learner-characteristics-important-for-successful-learning-in-cross-cultu</w:t>
        </w:r>
        <w:r>
          <w:rPr>
            <w:color w:val="0563C1"/>
            <w:u w:val="single"/>
          </w:rPr>
          <w:t>ral-web-based-learning-environments-in-higher-education/279739</w:t>
        </w:r>
      </w:hyperlink>
      <w:r>
        <w:t xml:space="preserve"> </w:t>
      </w:r>
    </w:p>
    <w:p w:rsidR="009E1A17" w:rsidRDefault="00775E82">
      <w:r>
        <w:t xml:space="preserve">Joseph George M. </w:t>
      </w:r>
      <w:proofErr w:type="spellStart"/>
      <w:r>
        <w:t>Lutta</w:t>
      </w:r>
      <w:proofErr w:type="spellEnd"/>
      <w:r>
        <w:t xml:space="preserve"> Copyright: © 2021</w:t>
      </w:r>
    </w:p>
    <w:p w:rsidR="009E1A17" w:rsidRDefault="009E1A17"/>
    <w:p w:rsidR="009E1A17" w:rsidRDefault="00775E82">
      <w:r>
        <w:t xml:space="preserve">Multilingualism on the internet </w:t>
      </w:r>
      <w:r>
        <w:br/>
      </w:r>
      <w:hyperlink r:id="rId12">
        <w:r>
          <w:rPr>
            <w:color w:val="0563C1"/>
            <w:u w:val="single"/>
          </w:rPr>
          <w:t>https://www.</w:t>
        </w:r>
        <w:r>
          <w:rPr>
            <w:color w:val="0563C1"/>
            <w:u w:val="single"/>
          </w:rPr>
          <w:t>academia.edu/download/13686668/Ch_22_-_Leppanen_-_Peuronen__pre-print.pdf</w:t>
        </w:r>
      </w:hyperlink>
      <w:r>
        <w:t xml:space="preserve"> </w:t>
      </w:r>
    </w:p>
    <w:p w:rsidR="009E1A17" w:rsidRDefault="00775E82">
      <w:proofErr w:type="gramStart"/>
      <w:r>
        <w:t xml:space="preserve">In Martin-Jones, M., </w:t>
      </w:r>
      <w:proofErr w:type="spellStart"/>
      <w:r>
        <w:t>Blackledge</w:t>
      </w:r>
      <w:proofErr w:type="spellEnd"/>
      <w:r>
        <w:t xml:space="preserve"> A., and </w:t>
      </w:r>
      <w:proofErr w:type="spellStart"/>
      <w:r>
        <w:t>Creese</w:t>
      </w:r>
      <w:proofErr w:type="spellEnd"/>
      <w:r>
        <w:t xml:space="preserve"> Angela.</w:t>
      </w:r>
      <w:proofErr w:type="gramEnd"/>
      <w:r>
        <w:t xml:space="preserve"> </w:t>
      </w:r>
      <w:proofErr w:type="gramStart"/>
      <w:r>
        <w:t>(Forthcoming in 2012).</w:t>
      </w:r>
      <w:proofErr w:type="gramEnd"/>
      <w:r>
        <w:br/>
      </w:r>
      <w:proofErr w:type="gramStart"/>
      <w:r>
        <w:t>The Routledge Handbook of Multilingualism.</w:t>
      </w:r>
      <w:proofErr w:type="gramEnd"/>
      <w:r>
        <w:t xml:space="preserve"> London and New York: Routledge.</w:t>
      </w:r>
    </w:p>
    <w:p w:rsidR="009E1A17" w:rsidRDefault="009E1A17"/>
    <w:p w:rsidR="009E1A17" w:rsidRDefault="00775E82">
      <w:pPr>
        <w:jc w:val="center"/>
      </w:pPr>
      <w:r>
        <w:rPr>
          <w:rFonts w:ascii="Source Sans Pro" w:eastAsia="Source Sans Pro" w:hAnsi="Source Sans Pro" w:cs="Source Sans Pro"/>
          <w:noProof/>
          <w:color w:val="000000"/>
          <w:lang w:val="fr-FR"/>
        </w:rPr>
        <w:lastRenderedPageBreak/>
        <w:drawing>
          <wp:anchor distT="0" distB="0" distL="114300" distR="114300" simplePos="0" relativeHeight="251660288" behindDoc="0" locked="0" layoutInCell="1" hidden="0" allowOverlap="1">
            <wp:simplePos x="0" y="0"/>
            <wp:positionH relativeFrom="margin">
              <wp:posOffset>-914398</wp:posOffset>
            </wp:positionH>
            <wp:positionV relativeFrom="margin">
              <wp:posOffset>-931543</wp:posOffset>
            </wp:positionV>
            <wp:extent cx="7625715" cy="10765155"/>
            <wp:effectExtent l="0" t="0" r="0" b="0"/>
            <wp:wrapSquare wrapText="bothSides" distT="0" distB="0" distL="114300" distR="114300"/>
            <wp:docPr id="10"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3"/>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9E1A17">
      <w:headerReference w:type="first" r:id="rId14"/>
      <w:footerReference w:type="first" r:id="rId15"/>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82" w:rsidRDefault="00775E82">
      <w:pPr>
        <w:spacing w:after="0" w:line="240" w:lineRule="auto"/>
      </w:pPr>
      <w:r>
        <w:separator/>
      </w:r>
    </w:p>
  </w:endnote>
  <w:endnote w:type="continuationSeparator" w:id="0">
    <w:p w:rsidR="00775E82" w:rsidRDefault="0077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altName w:val="Arial"/>
    <w:charset w:val="00"/>
    <w:family w:val="swiss"/>
    <w:pitch w:val="variable"/>
    <w:sig w:usb0="00000001" w:usb1="00000001" w:usb2="00000000" w:usb3="00000000" w:csb0="00000093" w:csb1="00000000"/>
  </w:font>
  <w:font w:name="Quattrocento Sans">
    <w:altName w:val="Times New Roman"/>
    <w:charset w:val="00"/>
    <w:family w:val="auto"/>
    <w:pitch w:val="default"/>
  </w:font>
  <w:font w:name="___WRD_EMBED_SUB_320">
    <w:altName w:val="Bahnschrift Light"/>
    <w:panose1 w:val="020B0502050000020003"/>
    <w:charset w:val="00"/>
    <w:family w:val="auto"/>
    <w:pitch w:val="default"/>
  </w:font>
  <w:font w:name="Source Sans Pro">
    <w:altName w:val="Calibri"/>
    <w:charset w:val="00"/>
    <w:family w:val="swiss"/>
    <w:pitch w:val="variable"/>
    <w:sig w:usb0="00000001"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17" w:rsidRDefault="009E1A1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82" w:rsidRDefault="00775E82">
      <w:pPr>
        <w:spacing w:after="0" w:line="240" w:lineRule="auto"/>
      </w:pPr>
      <w:r>
        <w:separator/>
      </w:r>
    </w:p>
  </w:footnote>
  <w:footnote w:type="continuationSeparator" w:id="0">
    <w:p w:rsidR="00775E82" w:rsidRDefault="00775E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17" w:rsidRDefault="009E1A1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4730"/>
    <w:multiLevelType w:val="multilevel"/>
    <w:tmpl w:val="90DA60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E1A17"/>
    <w:rsid w:val="00775E82"/>
    <w:rsid w:val="008041E6"/>
    <w:rsid w:val="009E1A1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3A3450"/>
    <w:rPr>
      <w:color w:val="0563C1" w:themeColor="hyperlink"/>
      <w:u w:val="single"/>
    </w:rPr>
  </w:style>
  <w:style w:type="character" w:customStyle="1" w:styleId="UnresolvedMention">
    <w:name w:val="Unresolved Mention"/>
    <w:basedOn w:val="Policepardfaut"/>
    <w:uiPriority w:val="99"/>
    <w:semiHidden/>
    <w:unhideWhenUsed/>
    <w:rsid w:val="003A34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E"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3A3450"/>
    <w:rPr>
      <w:color w:val="0563C1" w:themeColor="hyperlink"/>
      <w:u w:val="single"/>
    </w:rPr>
  </w:style>
  <w:style w:type="character" w:customStyle="1" w:styleId="UnresolvedMention">
    <w:name w:val="Unresolved Mention"/>
    <w:basedOn w:val="Policepardfaut"/>
    <w:uiPriority w:val="99"/>
    <w:semiHidden/>
    <w:unhideWhenUsed/>
    <w:rsid w:val="003A3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ademia.edu/download/13686668/Ch_22_-_Leppanen_-_Peuronen__pre-pri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gi-global.com/chapter/adult-learner-characteristics-important-for-successful-learning-in-cross-cultural-web-based-learning-environments-in-higher-education/27973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journals.lww.com/academicmedicine/Fulltext/2002/03000/Integrating_Social_Factors_into_Cross_cultural.3.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zMkFGCJWbl82gamuZ72JxyDag==">CgMxLjA4AHIhMWplU21leDk0bWV2X0Q5dE82eTV2a1dlZGd0UkhtLTdK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904</Words>
  <Characters>4975</Characters>
  <Application>Microsoft Office Word</Application>
  <DocSecurity>0</DocSecurity>
  <Lines>41</Lines>
  <Paragraphs>11</Paragraphs>
  <ScaleCrop>false</ScaleCrop>
  <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33688762972</cp:lastModifiedBy>
  <cp:revision>2</cp:revision>
  <dcterms:created xsi:type="dcterms:W3CDTF">2023-08-03T09:21:00Z</dcterms:created>
  <dcterms:modified xsi:type="dcterms:W3CDTF">2024-01-02T10:28:00Z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