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mc:AlternateContent>
          <mc:Choice Requires="wpg">
            <w:drawing>
              <wp:anchor allowOverlap="1" behindDoc="0" distB="80010" distT="80010" distL="80010" distR="80010" hidden="0" layoutInCell="1" locked="0" relativeHeight="0" simplePos="0">
                <wp:simplePos x="0" y="0"/>
                <wp:positionH relativeFrom="page">
                  <wp:posOffset>2811463</wp:posOffset>
                </wp:positionH>
                <wp:positionV relativeFrom="page">
                  <wp:posOffset>1644333</wp:posOffset>
                </wp:positionV>
                <wp:extent cx="4017808" cy="4685369"/>
                <wp:effectExtent b="0" l="0" r="0" t="0"/>
                <wp:wrapNone/>
                <wp:docPr descr="Text Box 2" id="1" name=""/>
                <a:graphic>
                  <a:graphicData uri="http://schemas.microsoft.com/office/word/2010/wordprocessingShape">
                    <wps:wsp>
                      <wps:cNvSpPr/>
                      <wps:cNvPr id="2" name="Shape 2"/>
                      <wps:spPr>
                        <a:xfrm>
                          <a:off x="3341859" y="1442078"/>
                          <a:ext cx="4008283" cy="467584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64"/>
                                <w:vertAlign w:val="baseline"/>
                              </w:rPr>
                              <w:t xml:space="preserve">Les compétences citoyennes à travers les disciplines culturelles</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64"/>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Manuel de formation pour adultes </w:t>
                            </w:r>
                          </w:p>
                        </w:txbxContent>
                      </wps:txbx>
                      <wps:bodyPr anchorCtr="0" anchor="t" bIns="45700" lIns="45700" spcFirstLastPara="1" rIns="45700" wrap="square" tIns="45700">
                        <a:noAutofit/>
                      </wps:bodyPr>
                    </wps:wsp>
                  </a:graphicData>
                </a:graphic>
              </wp:anchor>
            </w:drawing>
          </mc:Choice>
          <mc:Fallback>
            <w:drawing>
              <wp:anchor allowOverlap="1" behindDoc="0" distB="80010" distT="80010" distL="80010" distR="80010" hidden="0" layoutInCell="1" locked="0" relativeHeight="0" simplePos="0">
                <wp:simplePos x="0" y="0"/>
                <wp:positionH relativeFrom="page">
                  <wp:posOffset>2811463</wp:posOffset>
                </wp:positionH>
                <wp:positionV relativeFrom="page">
                  <wp:posOffset>1644333</wp:posOffset>
                </wp:positionV>
                <wp:extent cx="4017808" cy="4685369"/>
                <wp:effectExtent b="0" l="0" r="0" t="0"/>
                <wp:wrapNone/>
                <wp:docPr descr="Text Box 2" id="1" name="image3.png"/>
                <a:graphic>
                  <a:graphicData uri="http://schemas.openxmlformats.org/drawingml/2006/picture">
                    <pic:pic>
                      <pic:nvPicPr>
                        <pic:cNvPr descr="Text Box 2" id="0" name="image3.png"/>
                        <pic:cNvPicPr preferRelativeResize="0"/>
                      </pic:nvPicPr>
                      <pic:blipFill>
                        <a:blip r:embed="rId7"/>
                        <a:srcRect/>
                        <a:stretch>
                          <a:fillRect/>
                        </a:stretch>
                      </pic:blipFill>
                      <pic:spPr>
                        <a:xfrm>
                          <a:off x="0" y="0"/>
                          <a:ext cx="4017808" cy="4685369"/>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57150" distT="57150" distL="57150" distR="57150" hidden="0" layoutInCell="1" locked="0" relativeHeight="0" simplePos="0">
            <wp:simplePos x="0" y="0"/>
            <wp:positionH relativeFrom="page">
              <wp:posOffset>-18413</wp:posOffset>
            </wp:positionH>
            <wp:positionV relativeFrom="page">
              <wp:posOffset>-39368</wp:posOffset>
            </wp:positionV>
            <wp:extent cx="7625716" cy="10782300"/>
            <wp:effectExtent b="0" l="0" r="0" t="0"/>
            <wp:wrapSquare wrapText="bothSides" distB="57150" distT="57150" distL="57150" distR="57150"/>
            <wp:docPr descr="Shape&#10;&#10;Description automatically generated" id="3" name="image1.png"/>
            <a:graphic>
              <a:graphicData uri="http://schemas.openxmlformats.org/drawingml/2006/picture">
                <pic:pic>
                  <pic:nvPicPr>
                    <pic:cNvPr descr="Shape&#10;&#10;Description automatically generated" id="0" name="image1.png"/>
                    <pic:cNvPicPr preferRelativeResize="0"/>
                  </pic:nvPicPr>
                  <pic:blipFill>
                    <a:blip r:embed="rId8"/>
                    <a:srcRect b="0" l="0" r="0" t="0"/>
                    <a:stretch>
                      <a:fillRect/>
                    </a:stretch>
                  </pic:blipFill>
                  <pic:spPr>
                    <a:xfrm>
                      <a:off x="0" y="0"/>
                      <a:ext cx="7625716" cy="107823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2"/>
        <w:tabs>
          <w:tab w:val="left" w:leader="none" w:pos="5341"/>
        </w:tabs>
        <w:spacing w:line="360" w:lineRule="auto"/>
        <w:jc w:val="center"/>
        <w:rPr>
          <w:rFonts w:ascii="Bebas Neue" w:cs="Bebas Neue" w:eastAsia="Bebas Neue" w:hAnsi="Bebas Neue"/>
          <w:color w:val="f5b335"/>
          <w:sz w:val="48"/>
          <w:szCs w:val="48"/>
          <w:u w:val="none"/>
        </w:rPr>
      </w:pPr>
      <w:r w:rsidDel="00000000" w:rsidR="00000000" w:rsidRPr="00000000">
        <w:rPr>
          <w:rFonts w:ascii="Bebas Neue" w:cs="Bebas Neue" w:eastAsia="Bebas Neue" w:hAnsi="Bebas Neue"/>
          <w:color w:val="f5b335"/>
          <w:sz w:val="48"/>
          <w:szCs w:val="48"/>
          <w:u w:val="none"/>
          <w:rtl w:val="0"/>
        </w:rPr>
        <w:t xml:space="preserve">Ressources de micro-apprentissage pour permettre aux apprenants adultes peu qualifiés de se réinsérer dans l'éducation et la formation</w:t>
      </w:r>
    </w:p>
    <w:p w:rsidR="00000000" w:rsidDel="00000000" w:rsidP="00000000" w:rsidRDefault="00000000" w:rsidRPr="00000000" w14:paraId="00000003">
      <w:pPr>
        <w:pStyle w:val="Heading2"/>
        <w:tabs>
          <w:tab w:val="left" w:leader="none" w:pos="5341"/>
        </w:tabs>
        <w:spacing w:line="360" w:lineRule="auto"/>
        <w:rPr>
          <w:color w:val="1f2126"/>
          <w:sz w:val="36"/>
          <w:szCs w:val="36"/>
          <w:u w:val="none"/>
        </w:rPr>
      </w:pPr>
      <w:r w:rsidDel="00000000" w:rsidR="00000000" w:rsidRPr="00000000">
        <w:rPr>
          <w:rFonts w:ascii="Quattrocento Sans" w:cs="Quattrocento Sans" w:eastAsia="Quattrocento Sans" w:hAnsi="Quattrocento Sans"/>
          <w:b w:val="1"/>
          <w:color w:val="1f2126"/>
          <w:sz w:val="36"/>
          <w:szCs w:val="36"/>
          <w:u w:val="none"/>
          <w:rtl w:val="0"/>
        </w:rPr>
        <w:t xml:space="preserve">Manuel de formation pour adultes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Plan de leçon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L'objectif de ce petit manuel est de vous aider, en tant que formateur expérimenté travaillant avec des apprenants adultes peu qualifiés et marginalisés, ayant des besoins divers, à utiliser les ressources vidéo et les fiches d'activité fournies dans la série de ressources de micro-apprentissage pour remobiliser les apprenants adultes peu qualifiés dans votre centre et dans votre communauté.  Ce petit manuel vous fournira des informations générales sur le sujet abordé dans la ressource vidéo et des conseils pour vous aider à introduire et à mettre en œuvre l'activité d'accompagnement avec les apprenants adultes de votre groupe. L'activité qui a été développée pour accompagner les ressources vidéo a pour but d'approfondir leur compréhension du sujet abordé dans la ressource vidéo. Enfin, ce manuel vous présentera également des questions de débriefing que vous pourrez utiliser dans votre groupe d'apprenants adultes pour évaluer la convivialité et la qualité de l'activité que vous avez réalisée avec eux.</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1"/>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Le sujet de ce manuel est lié aux ressources vidéo </w:t>
      </w: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Compétences en matière de citoyenneté à travers les disciplines culturelles</w:t>
      </w:r>
    </w:p>
    <w:p w:rsidR="00000000" w:rsidDel="00000000" w:rsidP="00000000" w:rsidRDefault="00000000" w:rsidRPr="00000000" w14:paraId="00000008">
      <w:pPr>
        <w:pStyle w:val="Heading2"/>
        <w:spacing w:line="36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Présentation du sujet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Les disciplines culturelles constituent un contexte précieux pour l'amélioration des compétences en matière de citoyenneté. En s'engageant dans des disciplines culturelles telles que l'histoire, la sociologie, l'anthropologie et la littérature, les individus peuvent développer une compréhension plus profonde des diverses perspectives, valeurs et expériences qui façonnent la société. Ces connaissances favorisent la sensibilisation culturelle, l'empathie et le respect des diverses cultures, encourageant ainsi une citoyenneté inclusive.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Les disciplines culturelles permettent également aux individus d'analyser de manière critique les questions sociales et de réfléchir à l'impact des événements historiques et des structures sociétales sur le présent. Cette pensée critique renforce les compétences citoyennes en permettant aux individus de remettre en question les inégalités, de lutter contre la discrimination et de plaider en faveur de la justice sociale.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De plus, les disciplines culturelles encouragent une participation civique active. Grâce à l'étude du patrimoine culturel, des arts et des traditions, les individus acquièrent un sentiment d'appartenance et d'identité, ce qui renforce leur lien avec leur communauté et les incite à s'engager dans des activités civiques.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En intégrant les disciplines culturelles dans l'éducation à la citoyenneté, les individus peuvent développer les connaissances, les compétences, les attitudes et les valeurs nécessaires à une citoyenneté active. Ils apprennent à apprécier la diversité, à comprendre les principes démocratiques, à communiquer efficacement, à collaborer avec les autres et à agir pour un changement social positif. Les disciplines culturelles jouent ainsi un rôle essentiel dans la formation de citoyens informés, responsables et engagés, qui contribuent à l'édification de sociétés inclusives et démocratiques.</w:t>
      </w:r>
    </w:p>
    <w:p w:rsidR="00000000" w:rsidDel="00000000" w:rsidP="00000000" w:rsidRDefault="00000000" w:rsidRPr="00000000" w14:paraId="0000000F">
      <w:pPr>
        <w:pStyle w:val="Heading2"/>
        <w:spacing w:line="36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Présentation de l'activité</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Dans le document de l'apprenant, les adultes peu qualifiés ont l'occasion unique de se plonger dans l'initiative innovante "Intégration par la culture" en Irlande et de découvrir comment elle a aidé les adultes peu qualifiés à développer leurs compétences citoyennes par le biais de l'intégration culturelle. Les apprenants ont également la possibilité de s'engager dans une activité amusante et interactive d'"exploration d'un artefact culturel", où ils découvriront comment une brève exploration d'un artefact culturel, une réflexion sur sa signification culturelle, et l'examen de sa pertinence pour la citoyenneté peuvent conduire à l'amélioration de leurs compétences en matière de citoyenneté. Vous pouvez ainsi inciter les apprenants à découvrir que même les activités les plus improbables peuvent conduire à des améliorations significatives de leur conscience culturelle et de leurs compétences en matière d'expression.</w:t>
      </w:r>
    </w:p>
    <w:p w:rsidR="00000000" w:rsidDel="00000000" w:rsidP="00000000" w:rsidRDefault="00000000" w:rsidRPr="00000000" w14:paraId="00000011">
      <w:pPr>
        <w:pStyle w:val="Heading2"/>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Utiliser cette ressource avec un groupe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Pour utiliser cette ressource avec les apprenants adultes de votre groupe local, nous vous recommandons de commencer par leur montrer la ressource vidéo pour introduire le thème des </w:t>
      </w: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compétences de citoyenneté à travers les disciplines culturelles.</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 Cette vidéo aidera les apprenants à comprendre le sujet avant de commencer l'activité de la fiche de l'apprenant. Une fois qu'ils auront acquis une connaissance générale du thème, ils pourront commencer le polycopié. Pour cela, nous vous recommandons d'imprimer un polycopié par apprenant. Tout ce dont les apprenants ont besoin pour cette ressource est un stylo pour compléter le polycopié de l'apprenant et un ordinateur pour visionner la vidéo. Il faut compter une heure pour compléter cette ressource.</w:t>
      </w:r>
    </w:p>
    <w:p w:rsidR="00000000" w:rsidDel="00000000" w:rsidP="00000000" w:rsidRDefault="00000000" w:rsidRPr="00000000" w14:paraId="00000014">
      <w:pPr>
        <w:pStyle w:val="Heading2"/>
        <w:spacing w:line="36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Questions de débriefing</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Voici quelques questions potentielles de débriefing auxquelles les participants pourront réfléchir après avoir terminé l'étude de cas et l'activité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Qu'est-ce qui vous a le plus surpris dans l'initiative "Intégration à la culture" en Irlande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Quel est le principal enseignement que vous tirerez de cette étude de cas et de cette activité ? Comment l'appliquerez-vous à votre vie ou à votre travail ?</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Comment avez-vous vécu l'activité "Exploration d'artefacts culturels" ? L'avez-vous trouvée utile pour améliorer vos compétences en matière de citoyenneté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Pr>
        <w:drawing>
          <wp:anchor allowOverlap="1" behindDoc="0" distB="57150" distT="57150" distL="57150" distR="57150" hidden="0" layoutInCell="1" locked="0" relativeHeight="0" simplePos="0">
            <wp:simplePos x="0" y="0"/>
            <wp:positionH relativeFrom="page">
              <wp:posOffset>0</wp:posOffset>
            </wp:positionH>
            <wp:positionV relativeFrom="page">
              <wp:posOffset>-17144</wp:posOffset>
            </wp:positionV>
            <wp:extent cx="7625716" cy="10765156"/>
            <wp:effectExtent b="0" l="0" r="0" t="0"/>
            <wp:wrapSquare wrapText="bothSides" distB="57150" distT="57150" distL="57150" distR="57150"/>
            <wp:docPr descr="Timeline&#10;&#10;Description automatically generated" id="2" name="image2.png"/>
            <a:graphic>
              <a:graphicData uri="http://schemas.openxmlformats.org/drawingml/2006/picture">
                <pic:pic>
                  <pic:nvPicPr>
                    <pic:cNvPr descr="Timeline&#10;&#10;Description automatically generated" id="0" name="image2.png"/>
                    <pic:cNvPicPr preferRelativeResize="0"/>
                  </pic:nvPicPr>
                  <pic:blipFill>
                    <a:blip r:embed="rId9"/>
                    <a:srcRect b="0" l="0" r="0" t="0"/>
                    <a:stretch>
                      <a:fillRect/>
                    </a:stretch>
                  </pic:blipFill>
                  <pic:spPr>
                    <a:xfrm>
                      <a:off x="0" y="0"/>
                      <a:ext cx="7625716" cy="10765156"/>
                    </a:xfrm>
                    <a:prstGeom prst="rect"/>
                    <a:ln/>
                  </pic:spPr>
                </pic:pic>
              </a:graphicData>
            </a:graphic>
          </wp:anchor>
        </w:drawing>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w:t>
      </w:r>
      <w:r w:rsidDel="00000000" w:rsidR="00000000" w:rsidRPr="00000000">
        <w:rPr>
          <w:rtl w:val="0"/>
        </w:rPr>
      </w:r>
    </w:p>
    <w:sectPr>
      <w:headerReference r:id="rId10" w:type="default"/>
      <w:headerReference r:id="rId11" w:type="first"/>
      <w:footerReference r:id="rId12" w:type="default"/>
      <w:footerReference r:id="rId13" w:type="first"/>
      <w:pgSz w:h="16840" w:w="1190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bas Neue">
    <w:embedRegular w:fontKey="{00000000-0000-0000-0000-000000000000}" r:id="rId5" w:subsetted="0"/>
  </w:font>
  <w:font w:name="Quattrocento Sans">
    <w:embedBold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embedRegular w:fontKey="{00000000-0000-0000-0000-000000000000}" r:id="rId12" w:subsetted="0"/>
    <w:embedBold w:fontKey="{00000000-0000-0000-0000-000000000000}" r:id="rId1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pPr>
    <w:rPr>
      <w:rFonts w:ascii="Calibri" w:cs="Calibri" w:eastAsia="Calibri" w:hAnsi="Calibri"/>
      <w:b w:val="0"/>
      <w:i w:val="0"/>
      <w:smallCaps w:val="0"/>
      <w:strike w:val="0"/>
      <w:color w:val="ffc000"/>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Italic.ttf"/><Relationship Id="rId10" Type="http://schemas.openxmlformats.org/officeDocument/2006/relationships/font" Target="fonts/HelveticaNeue-italic.ttf"/><Relationship Id="rId13" Type="http://schemas.openxmlformats.org/officeDocument/2006/relationships/font" Target="fonts/NotoSansSymbols-bold.ttf"/><Relationship Id="rId12" Type="http://schemas.openxmlformats.org/officeDocument/2006/relationships/font" Target="fonts/NotoSansSymbols-regular.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bold.ttf"/><Relationship Id="rId5" Type="http://schemas.openxmlformats.org/officeDocument/2006/relationships/font" Target="fonts/BebasNeue-regular.ttf"/><Relationship Id="rId6" Type="http://schemas.openxmlformats.org/officeDocument/2006/relationships/font" Target="fonts/QuattrocentoSans-bold.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5RUXexQryrSk8qRfL8PeeU2KTg==">CgMxLjA4AHIhMXRoT3ZhSzczeVkyQVpkT3psS096R3RMZGozRjNrYm54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