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AC33" w14:textId="77777777" w:rsidR="003A57E6" w:rsidRDefault="00000000">
      <w:pPr>
        <w:tabs>
          <w:tab w:val="left" w:pos="900"/>
        </w:tabs>
      </w:pPr>
      <w:r>
        <w:rPr>
          <w:noProof/>
        </w:rPr>
        <mc:AlternateContent>
          <mc:Choice Requires="wps">
            <w:drawing>
              <wp:anchor distT="45720" distB="45720" distL="114300" distR="114300" simplePos="0" relativeHeight="251658240" behindDoc="0" locked="0" layoutInCell="1" hidden="0" allowOverlap="1" wp14:anchorId="0ADD630D" wp14:editId="6A2DA4FD">
                <wp:simplePos x="0" y="0"/>
                <wp:positionH relativeFrom="column">
                  <wp:posOffset>1917700</wp:posOffset>
                </wp:positionH>
                <wp:positionV relativeFrom="paragraph">
                  <wp:posOffset>1595120</wp:posOffset>
                </wp:positionV>
                <wp:extent cx="4035425" cy="2638425"/>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3333050" y="2465550"/>
                          <a:ext cx="4025900" cy="2628900"/>
                        </a:xfrm>
                        <a:prstGeom prst="rect">
                          <a:avLst/>
                        </a:prstGeom>
                        <a:noFill/>
                        <a:ln>
                          <a:noFill/>
                        </a:ln>
                      </wps:spPr>
                      <wps:txbx>
                        <w:txbxContent>
                          <w:p w14:paraId="5AD1E342" w14:textId="5FA79541" w:rsidR="003A57E6" w:rsidRPr="001A5503" w:rsidRDefault="001A5503">
                            <w:pPr>
                              <w:spacing w:line="258" w:lineRule="auto"/>
                              <w:jc w:val="center"/>
                              <w:textDirection w:val="btLr"/>
                              <w:rPr>
                                <w:lang w:val="fr-FR"/>
                              </w:rPr>
                            </w:pPr>
                            <w:r w:rsidRPr="001A5503">
                              <w:rPr>
                                <w:rFonts w:ascii="Bebas Neue" w:eastAsia="Bebas Neue" w:hAnsi="Bebas Neue" w:cs="Bebas Neue"/>
                                <w:color w:val="F5B335"/>
                                <w:sz w:val="72"/>
                                <w:lang w:val="fr-FR"/>
                              </w:rPr>
                              <w:t>Compétence citoyenne</w:t>
                            </w:r>
                            <w:r>
                              <w:rPr>
                                <w:rFonts w:ascii="Bebas Neue" w:eastAsia="Bebas Neue" w:hAnsi="Bebas Neue" w:cs="Bebas Neue"/>
                                <w:color w:val="F5B335"/>
                                <w:sz w:val="72"/>
                                <w:lang w:val="fr-FR"/>
                              </w:rPr>
                              <w:t xml:space="preserve"> et</w:t>
                            </w:r>
                            <w:r w:rsidRPr="001A5503">
                              <w:rPr>
                                <w:rFonts w:ascii="Bebas Neue" w:eastAsia="Bebas Neue" w:hAnsi="Bebas Neue" w:cs="Bebas Neue"/>
                                <w:color w:val="F5B335"/>
                                <w:sz w:val="72"/>
                                <w:lang w:val="fr-FR"/>
                              </w:rPr>
                              <w:t xml:space="preserve"> disciplines artistiques</w:t>
                            </w:r>
                          </w:p>
                          <w:p w14:paraId="41084321" w14:textId="3520879E" w:rsidR="003A57E6" w:rsidRPr="001A5503" w:rsidRDefault="001A5503">
                            <w:pPr>
                              <w:spacing w:line="258" w:lineRule="auto"/>
                              <w:jc w:val="center"/>
                              <w:textDirection w:val="btLr"/>
                              <w:rPr>
                                <w:lang w:val="fr-FR"/>
                              </w:rPr>
                            </w:pPr>
                            <w:r w:rsidRPr="001A5503">
                              <w:rPr>
                                <w:rFonts w:ascii="Bebas Neue" w:eastAsia="Bebas Neue" w:hAnsi="Bebas Neue" w:cs="Bebas Neue"/>
                                <w:color w:val="000000"/>
                                <w:sz w:val="64"/>
                                <w:lang w:val="fr-FR"/>
                              </w:rPr>
                              <w:t>Manuel de l'éducateur d'adultes</w:t>
                            </w:r>
                          </w:p>
                        </w:txbxContent>
                      </wps:txbx>
                      <wps:bodyPr spcFirstLastPara="1" wrap="square" lIns="91425" tIns="45700" rIns="91425" bIns="45700" anchor="t" anchorCtr="0">
                        <a:noAutofit/>
                      </wps:bodyPr>
                    </wps:wsp>
                  </a:graphicData>
                </a:graphic>
              </wp:anchor>
            </w:drawing>
          </mc:Choice>
          <mc:Fallback>
            <w:pict>
              <v:rect w14:anchorId="0ADD630D" id="Rectangle 8" o:spid="_x0000_s1026" style="position:absolute;margin-left:151pt;margin-top:125.6pt;width:317.75pt;height:207.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" filled="f" stroked="f">
                <v:textbox inset="2.53958mm,1.2694mm,2.53958mm,1.2694mm">
                  <w:txbxContent>
                    <w:p w14:paraId="5AD1E342" w14:textId="5FA79541" w:rsidR="003A57E6" w:rsidRPr="001A5503" w:rsidRDefault="001A5503">
                      <w:pPr>
                        <w:spacing w:line="258" w:lineRule="auto"/>
                        <w:jc w:val="center"/>
                        <w:textDirection w:val="btLr"/>
                        <w:rPr>
                          <w:lang w:val="fr-FR"/>
                        </w:rPr>
                      </w:pPr>
                      <w:r w:rsidRPr="001A5503">
                        <w:rPr>
                          <w:rFonts w:ascii="Bebas Neue" w:eastAsia="Bebas Neue" w:hAnsi="Bebas Neue" w:cs="Bebas Neue"/>
                          <w:color w:val="F5B335"/>
                          <w:sz w:val="72"/>
                          <w:lang w:val="fr-FR"/>
                        </w:rPr>
                        <w:t>Compétence citoyenne</w:t>
                      </w:r>
                      <w:r>
                        <w:rPr>
                          <w:rFonts w:ascii="Bebas Neue" w:eastAsia="Bebas Neue" w:hAnsi="Bebas Neue" w:cs="Bebas Neue"/>
                          <w:color w:val="F5B335"/>
                          <w:sz w:val="72"/>
                          <w:lang w:val="fr-FR"/>
                        </w:rPr>
                        <w:t xml:space="preserve"> et</w:t>
                      </w:r>
                      <w:r w:rsidRPr="001A5503">
                        <w:rPr>
                          <w:rFonts w:ascii="Bebas Neue" w:eastAsia="Bebas Neue" w:hAnsi="Bebas Neue" w:cs="Bebas Neue"/>
                          <w:color w:val="F5B335"/>
                          <w:sz w:val="72"/>
                          <w:lang w:val="fr-FR"/>
                        </w:rPr>
                        <w:t xml:space="preserve"> disciplines artistiques</w:t>
                      </w:r>
                    </w:p>
                    <w:p w14:paraId="41084321" w14:textId="3520879E" w:rsidR="003A57E6" w:rsidRPr="001A5503" w:rsidRDefault="001A5503">
                      <w:pPr>
                        <w:spacing w:line="258" w:lineRule="auto"/>
                        <w:jc w:val="center"/>
                        <w:textDirection w:val="btLr"/>
                        <w:rPr>
                          <w:lang w:val="fr-FR"/>
                        </w:rPr>
                      </w:pPr>
                      <w:r w:rsidRPr="001A5503">
                        <w:rPr>
                          <w:rFonts w:ascii="Bebas Neue" w:eastAsia="Bebas Neue" w:hAnsi="Bebas Neue" w:cs="Bebas Neue"/>
                          <w:color w:val="000000"/>
                          <w:sz w:val="64"/>
                          <w:lang w:val="fr-FR"/>
                        </w:rPr>
                        <w:t>Manuel de l'éducateur d'adultes</w:t>
                      </w:r>
                    </w:p>
                  </w:txbxContent>
                </v:textbox>
                <w10:wrap type="square"/>
              </v:rect>
            </w:pict>
          </mc:Fallback>
        </mc:AlternateContent>
      </w:r>
    </w:p>
    <w:p w14:paraId="19BC0888" w14:textId="77777777" w:rsidR="003A57E6" w:rsidRDefault="00000000">
      <w:pPr>
        <w:tabs>
          <w:tab w:val="left" w:pos="900"/>
        </w:tabs>
      </w:pPr>
      <w:r>
        <w:rPr>
          <w:noProof/>
        </w:rPr>
        <w:lastRenderedPageBreak/>
        <w:drawing>
          <wp:anchor distT="0" distB="0" distL="114300" distR="114300" simplePos="0" relativeHeight="251659264" behindDoc="0" locked="0" layoutInCell="1" hidden="0" allowOverlap="1" wp14:anchorId="741F71BF" wp14:editId="755BA58B">
            <wp:simplePos x="0" y="0"/>
            <wp:positionH relativeFrom="margin">
              <wp:posOffset>-932812</wp:posOffset>
            </wp:positionH>
            <wp:positionV relativeFrom="margin">
              <wp:posOffset>-953768</wp:posOffset>
            </wp:positionV>
            <wp:extent cx="7625715" cy="10782300"/>
            <wp:effectExtent l="0" t="0" r="0" b="0"/>
            <wp:wrapSquare wrapText="bothSides" distT="0" distB="0" distL="114300" distR="114300"/>
            <wp:docPr id="9"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5DA00160" w14:textId="7457449C" w:rsidR="003A57E6" w:rsidRPr="001A5503" w:rsidRDefault="001A5503">
      <w:pPr>
        <w:pStyle w:val="Titre2"/>
        <w:tabs>
          <w:tab w:val="left" w:pos="5341"/>
        </w:tabs>
        <w:jc w:val="center"/>
        <w:rPr>
          <w:rFonts w:ascii="Bebas Neue" w:eastAsia="Bebas Neue" w:hAnsi="Bebas Neue" w:cs="Bebas Neue"/>
          <w:color w:val="F5B335"/>
          <w:sz w:val="48"/>
          <w:szCs w:val="48"/>
          <w:lang w:val="fr-FR"/>
        </w:rPr>
      </w:pPr>
      <w:r w:rsidRPr="001A5503">
        <w:rPr>
          <w:rFonts w:ascii="Bebas Neue" w:eastAsia="Bebas Neue" w:hAnsi="Bebas Neue" w:cs="Bebas Neue"/>
          <w:color w:val="F5B335"/>
          <w:sz w:val="48"/>
          <w:szCs w:val="48"/>
          <w:lang w:val="fr-FR"/>
        </w:rPr>
        <w:lastRenderedPageBreak/>
        <w:t>Ressources de micro-apprentissage pour réengager les apprenants adultes peu qualifiés dans l'éducation et la formation</w:t>
      </w:r>
    </w:p>
    <w:p w14:paraId="4FF31C7B" w14:textId="77777777" w:rsidR="001A5503" w:rsidRPr="001A5503" w:rsidRDefault="001A5503" w:rsidP="001A5503">
      <w:pPr>
        <w:rPr>
          <w:lang w:val="fr-FR"/>
        </w:rPr>
      </w:pPr>
    </w:p>
    <w:p w14:paraId="5E61B403" w14:textId="50CBA133" w:rsidR="003A57E6" w:rsidRPr="001A5503" w:rsidRDefault="001A5503">
      <w:pPr>
        <w:pStyle w:val="Titre2"/>
        <w:tabs>
          <w:tab w:val="left" w:pos="5341"/>
        </w:tabs>
        <w:rPr>
          <w:rFonts w:ascii="Quattrocento Sans" w:eastAsia="Quattrocento Sans" w:hAnsi="Quattrocento Sans" w:cs="Quattrocento Sans"/>
          <w:b/>
          <w:color w:val="1F2126"/>
          <w:sz w:val="36"/>
          <w:szCs w:val="36"/>
          <w:lang w:val="fr-FR"/>
        </w:rPr>
      </w:pPr>
      <w:r w:rsidRPr="001A5503">
        <w:rPr>
          <w:rFonts w:ascii="Quattrocento Sans" w:eastAsia="Quattrocento Sans" w:hAnsi="Quattrocento Sans" w:cs="Quattrocento Sans"/>
          <w:b/>
          <w:color w:val="1F2126"/>
          <w:sz w:val="36"/>
          <w:szCs w:val="36"/>
          <w:lang w:val="fr-FR"/>
        </w:rPr>
        <w:t>Manuel de l'éducateur d'adultes</w:t>
      </w:r>
    </w:p>
    <w:p w14:paraId="6CF2602B" w14:textId="77777777" w:rsidR="001A5503" w:rsidRDefault="001A5503" w:rsidP="001A5503">
      <w:pPr>
        <w:spacing w:line="360" w:lineRule="auto"/>
        <w:jc w:val="both"/>
        <w:rPr>
          <w:rFonts w:ascii="Quattrocento Sans" w:eastAsia="Quattrocento Sans" w:hAnsi="Quattrocento Sans" w:cs="Quattrocento Sans"/>
          <w:color w:val="000000"/>
          <w:sz w:val="24"/>
          <w:szCs w:val="24"/>
          <w:lang w:val="fr-FR"/>
        </w:rPr>
      </w:pPr>
      <w:r w:rsidRPr="001A5503">
        <w:rPr>
          <w:rFonts w:ascii="Quattrocento Sans" w:eastAsia="Quattrocento Sans" w:hAnsi="Quattrocento Sans" w:cs="Quattrocento Sans"/>
          <w:color w:val="000000"/>
          <w:sz w:val="24"/>
          <w:szCs w:val="24"/>
          <w:lang w:val="fr-FR"/>
        </w:rPr>
        <w:t>Plan de cours</w:t>
      </w:r>
    </w:p>
    <w:p w14:paraId="57BA9360" w14:textId="26B0EFF5" w:rsidR="001A5503" w:rsidRPr="001A5503" w:rsidRDefault="001A5503" w:rsidP="001A5503">
      <w:pPr>
        <w:spacing w:line="360" w:lineRule="auto"/>
        <w:jc w:val="both"/>
        <w:rPr>
          <w:rFonts w:ascii="Quattrocento Sans" w:eastAsia="Quattrocento Sans" w:hAnsi="Quattrocento Sans" w:cs="Quattrocento Sans"/>
          <w:color w:val="000000"/>
          <w:sz w:val="24"/>
          <w:szCs w:val="24"/>
          <w:lang w:val="fr-FR"/>
        </w:rPr>
      </w:pPr>
      <w:r w:rsidRPr="001A5503">
        <w:rPr>
          <w:rFonts w:ascii="Quattrocento Sans" w:eastAsia="Quattrocento Sans" w:hAnsi="Quattrocento Sans" w:cs="Quattrocento Sans"/>
          <w:color w:val="000000"/>
          <w:sz w:val="24"/>
          <w:szCs w:val="24"/>
          <w:lang w:val="fr-FR"/>
        </w:rPr>
        <w:t>L'objectif de ce petit manuel est de vous aider, en tant qu'éducateur expérimenté travaillant avec des apprenants adultes peu qualifiés et marginalisés, ayant des besoins divers, à utiliser les ressources vidéo et les fiches d'activité fournies dans la Suite de ressources de micro-apprentissage pour remobiliser les apprenants adultes peu qualifiés dans votre centre et dans votre communauté.  Ce petit manuel vous fournira des informations générales sur le sujet abordé dans la ressource vidéo et des conseils pour vous aider à introduire et à mettre en œuvre l'activité d'accompagnement avec les apprenants adultes de votre groupe.  L'activité qui a été développée pour accompagner les ressources vidéo a pour but d'approfondir leur compréhension du sujet abordé dans la ressource vidéo. Enfin, ce manuel vous présentera également des questions de débriefing que vous pourrez utiliser dans votre groupe d'apprenants adultes, afin d'évaluer la convivialité et la qualité de l'activité que vous avez réalisée avec eux.</w:t>
      </w:r>
    </w:p>
    <w:p w14:paraId="00ADA8A3" w14:textId="77777777" w:rsidR="001A5503" w:rsidRPr="001A5503" w:rsidRDefault="001A5503">
      <w:pPr>
        <w:rPr>
          <w:rFonts w:ascii="Quattrocento Sans" w:eastAsia="Quattrocento Sans" w:hAnsi="Quattrocento Sans" w:cs="Quattrocento Sans"/>
          <w:bCs/>
          <w:color w:val="000000"/>
          <w:sz w:val="24"/>
          <w:szCs w:val="24"/>
          <w:lang w:val="fr-FR"/>
        </w:rPr>
      </w:pPr>
      <w:r w:rsidRPr="001A5503">
        <w:rPr>
          <w:rFonts w:ascii="Quattrocento Sans" w:eastAsia="Quattrocento Sans" w:hAnsi="Quattrocento Sans" w:cs="Quattrocento Sans"/>
          <w:bCs/>
          <w:color w:val="000000"/>
          <w:sz w:val="24"/>
          <w:szCs w:val="24"/>
          <w:lang w:val="fr-FR"/>
        </w:rPr>
        <w:t>Le sujet de ce manuel concerne les ressources vidéo :</w:t>
      </w:r>
    </w:p>
    <w:p w14:paraId="43C2B8B1" w14:textId="24A01848" w:rsidR="003A57E6" w:rsidRPr="001A5503" w:rsidRDefault="001A5503">
      <w:pPr>
        <w:rPr>
          <w:rFonts w:ascii="Quattrocento Sans" w:eastAsia="Quattrocento Sans" w:hAnsi="Quattrocento Sans" w:cs="Quattrocento Sans"/>
          <w:b/>
          <w:i/>
          <w:color w:val="000000"/>
          <w:sz w:val="24"/>
          <w:szCs w:val="24"/>
          <w:lang w:val="fr-FR"/>
        </w:rPr>
      </w:pPr>
      <w:r>
        <w:rPr>
          <w:rFonts w:ascii="Quattrocento Sans" w:eastAsia="Quattrocento Sans" w:hAnsi="Quattrocento Sans" w:cs="Quattrocento Sans"/>
          <w:b/>
          <w:color w:val="000000"/>
          <w:sz w:val="24"/>
          <w:szCs w:val="24"/>
          <w:lang w:val="fr-FR"/>
        </w:rPr>
        <w:t xml:space="preserve">Compétence citoyenne – Disciplines artistiques </w:t>
      </w:r>
    </w:p>
    <w:p w14:paraId="20344375" w14:textId="77777777" w:rsidR="003A57E6" w:rsidRPr="001A5503" w:rsidRDefault="003A57E6">
      <w:pPr>
        <w:rPr>
          <w:rFonts w:ascii="Quattrocento Sans" w:eastAsia="Quattrocento Sans" w:hAnsi="Quattrocento Sans" w:cs="Quattrocento Sans"/>
          <w:i/>
          <w:color w:val="000000"/>
          <w:sz w:val="24"/>
          <w:szCs w:val="24"/>
          <w:lang w:val="fr-FR"/>
        </w:rPr>
      </w:pPr>
    </w:p>
    <w:p w14:paraId="100C9B3A" w14:textId="62378450" w:rsidR="003A57E6" w:rsidRPr="001A5503" w:rsidRDefault="00000000">
      <w:pPr>
        <w:pStyle w:val="Titre2"/>
        <w:rPr>
          <w:rFonts w:ascii="Quattrocento Sans" w:eastAsia="Quattrocento Sans" w:hAnsi="Quattrocento Sans" w:cs="Quattrocento Sans"/>
          <w:sz w:val="24"/>
          <w:szCs w:val="24"/>
          <w:lang w:val="fr-FR"/>
        </w:rPr>
      </w:pPr>
      <w:r w:rsidRPr="001A5503">
        <w:rPr>
          <w:rFonts w:ascii="Quattrocento Sans" w:eastAsia="Quattrocento Sans" w:hAnsi="Quattrocento Sans" w:cs="Quattrocento Sans"/>
          <w:sz w:val="24"/>
          <w:szCs w:val="24"/>
          <w:lang w:val="fr-FR"/>
        </w:rPr>
        <w:t xml:space="preserve">Introduction </w:t>
      </w:r>
      <w:r w:rsidR="001A5503" w:rsidRPr="001A5503">
        <w:rPr>
          <w:rFonts w:ascii="Quattrocento Sans" w:eastAsia="Quattrocento Sans" w:hAnsi="Quattrocento Sans" w:cs="Quattrocento Sans"/>
          <w:sz w:val="24"/>
          <w:szCs w:val="24"/>
          <w:lang w:val="fr-FR"/>
        </w:rPr>
        <w:t xml:space="preserve">au sujet </w:t>
      </w:r>
    </w:p>
    <w:p w14:paraId="4EABAAA1" w14:textId="77777777" w:rsidR="003A57E6" w:rsidRPr="001A5503" w:rsidRDefault="003A57E6">
      <w:pPr>
        <w:rPr>
          <w:lang w:val="fr-FR"/>
        </w:rPr>
      </w:pPr>
    </w:p>
    <w:p w14:paraId="4CEBA8CE" w14:textId="7B414939" w:rsidR="003A57E6" w:rsidRPr="001A5503" w:rsidRDefault="001A5503" w:rsidP="001A5503">
      <w:pPr>
        <w:spacing w:line="360" w:lineRule="auto"/>
        <w:jc w:val="both"/>
        <w:rPr>
          <w:rFonts w:ascii="Quattrocento Sans" w:eastAsia="Quattrocento Sans" w:hAnsi="Quattrocento Sans" w:cs="Quattrocento Sans"/>
          <w:sz w:val="24"/>
          <w:szCs w:val="24"/>
          <w:lang w:val="fr-FR"/>
        </w:rPr>
      </w:pPr>
      <w:r w:rsidRPr="001A5503">
        <w:rPr>
          <w:rFonts w:ascii="Quattrocento Sans" w:eastAsia="Quattrocento Sans" w:hAnsi="Quattrocento Sans" w:cs="Quattrocento Sans"/>
          <w:sz w:val="24"/>
          <w:szCs w:val="24"/>
          <w:lang w:val="fr-FR"/>
        </w:rPr>
        <w:t xml:space="preserve">Naviguer dans le paysage complexe de la compétence citoyenne à travers le prisme de l'art offre une voie unique et transformatrice pour les individus, en particulier ceux qui ont des niveaux de compétence plus faibles, afin de s'engager de manière significative dans leurs communautés et la société dans son ensemble. La fusion de l'art et de la compétence citoyenne permet non seulement aux individus de mieux comprendre leurs droits et leurs responsabilités en tant que citoyens, mais ouvre également la voie à l'expression créative, à l'épanouissement personnel et à la participation active. Pour les adultes peu qualifiés, cette approche devient un pont vers une expérience citoyenne </w:t>
      </w:r>
      <w:r w:rsidRPr="001A5503">
        <w:rPr>
          <w:rFonts w:ascii="Quattrocento Sans" w:eastAsia="Quattrocento Sans" w:hAnsi="Quattrocento Sans" w:cs="Quattrocento Sans"/>
          <w:sz w:val="24"/>
          <w:szCs w:val="24"/>
          <w:lang w:val="fr-FR"/>
        </w:rPr>
        <w:lastRenderedPageBreak/>
        <w:t>plus inclusive et plus satisfaisante, leur permettant de contribuer, d'apprendre et de s'épanouir d'une manière qui correspond à leurs intérêts et à leurs capacités.</w:t>
      </w:r>
    </w:p>
    <w:p w14:paraId="07B7D536" w14:textId="438A43F1" w:rsidR="003A57E6" w:rsidRPr="001A5503" w:rsidRDefault="00000000">
      <w:pPr>
        <w:pStyle w:val="Titre2"/>
        <w:rPr>
          <w:rFonts w:ascii="Quattrocento Sans" w:eastAsia="Quattrocento Sans" w:hAnsi="Quattrocento Sans" w:cs="Quattrocento Sans"/>
          <w:sz w:val="24"/>
          <w:szCs w:val="24"/>
          <w:lang w:val="fr-FR"/>
        </w:rPr>
      </w:pPr>
      <w:r w:rsidRPr="001A5503">
        <w:rPr>
          <w:rFonts w:ascii="Quattrocento Sans" w:eastAsia="Quattrocento Sans" w:hAnsi="Quattrocento Sans" w:cs="Quattrocento Sans"/>
          <w:sz w:val="24"/>
          <w:szCs w:val="24"/>
          <w:lang w:val="fr-FR"/>
        </w:rPr>
        <w:t xml:space="preserve">Introduction </w:t>
      </w:r>
      <w:r w:rsidR="001A5503" w:rsidRPr="001A5503">
        <w:rPr>
          <w:rFonts w:ascii="Quattrocento Sans" w:eastAsia="Quattrocento Sans" w:hAnsi="Quattrocento Sans" w:cs="Quattrocento Sans"/>
          <w:sz w:val="24"/>
          <w:szCs w:val="24"/>
          <w:lang w:val="fr-FR"/>
        </w:rPr>
        <w:t xml:space="preserve">à l’activité </w:t>
      </w:r>
    </w:p>
    <w:p w14:paraId="327B1B16" w14:textId="77777777" w:rsidR="003A57E6" w:rsidRPr="001A5503" w:rsidRDefault="003A57E6">
      <w:pPr>
        <w:rPr>
          <w:lang w:val="fr-FR"/>
        </w:rPr>
      </w:pPr>
    </w:p>
    <w:p w14:paraId="2224D362" w14:textId="77777777" w:rsidR="001A5503" w:rsidRPr="001A5503" w:rsidRDefault="001A5503" w:rsidP="001A5503">
      <w:pPr>
        <w:spacing w:line="360" w:lineRule="auto"/>
        <w:jc w:val="both"/>
        <w:rPr>
          <w:rFonts w:ascii="Quattrocento Sans" w:eastAsia="Quattrocento Sans" w:hAnsi="Quattrocento Sans" w:cs="Quattrocento Sans"/>
          <w:sz w:val="24"/>
          <w:szCs w:val="24"/>
          <w:lang w:val="fr-FR"/>
        </w:rPr>
      </w:pPr>
      <w:r w:rsidRPr="001A5503">
        <w:rPr>
          <w:rFonts w:ascii="Quattrocento Sans" w:eastAsia="Quattrocento Sans" w:hAnsi="Quattrocento Sans" w:cs="Quattrocento Sans"/>
          <w:sz w:val="24"/>
          <w:szCs w:val="24"/>
          <w:lang w:val="fr-FR"/>
        </w:rPr>
        <w:t xml:space="preserve">L'étude de cas décrit une personne qui ne s'intéresse pas à l'art au quotidien. Elle est convaincue qu'aucune question de compétence civique ne peut être trouvée dans le domaine de l'art. </w:t>
      </w:r>
    </w:p>
    <w:p w14:paraId="1824BA0B" w14:textId="79CE26FF" w:rsidR="003A57E6" w:rsidRDefault="001A5503" w:rsidP="001A5503">
      <w:pPr>
        <w:spacing w:line="360" w:lineRule="auto"/>
        <w:jc w:val="both"/>
        <w:rPr>
          <w:rFonts w:ascii="Quattrocento Sans" w:eastAsia="Quattrocento Sans" w:hAnsi="Quattrocento Sans" w:cs="Quattrocento Sans"/>
          <w:sz w:val="24"/>
          <w:szCs w:val="24"/>
          <w:lang w:val="fr-FR"/>
        </w:rPr>
      </w:pPr>
      <w:r w:rsidRPr="001A5503">
        <w:rPr>
          <w:rFonts w:ascii="Quattrocento Sans" w:eastAsia="Quattrocento Sans" w:hAnsi="Quattrocento Sans" w:cs="Quattrocento Sans"/>
          <w:sz w:val="24"/>
          <w:szCs w:val="24"/>
          <w:lang w:val="fr-FR"/>
        </w:rPr>
        <w:t>Nous savons que ce n'est pas le cas et nous voulons le lui montrer. La tâche de l'apprenant consiste à dresser une liste de différentes disciplines artistiques (par exemple, la musique, la danse) et à rédiger des exemples de questions liées à la compétence civique dans les arts. Cela aidera les adultes à comprendre l'importance du domaine de l'art et de la compétence civique et la manière dont ces domaines se recoupent.</w:t>
      </w:r>
    </w:p>
    <w:p w14:paraId="4522E45F" w14:textId="77777777" w:rsidR="001A5503" w:rsidRPr="001A5503" w:rsidRDefault="001A5503" w:rsidP="001A5503">
      <w:pPr>
        <w:rPr>
          <w:rFonts w:ascii="Quattrocento Sans" w:eastAsia="Quattrocento Sans" w:hAnsi="Quattrocento Sans" w:cs="Quattrocento Sans"/>
          <w:sz w:val="24"/>
          <w:szCs w:val="24"/>
          <w:lang w:val="fr-FR"/>
        </w:rPr>
      </w:pPr>
    </w:p>
    <w:p w14:paraId="5401FD9B" w14:textId="42CE5E71" w:rsidR="003A57E6" w:rsidRPr="001A5503" w:rsidRDefault="00000000">
      <w:pPr>
        <w:pStyle w:val="Titre2"/>
        <w:rPr>
          <w:rFonts w:ascii="Quattrocento Sans" w:eastAsia="Quattrocento Sans" w:hAnsi="Quattrocento Sans" w:cs="Quattrocento Sans"/>
          <w:sz w:val="24"/>
          <w:szCs w:val="24"/>
          <w:lang w:val="fr-FR"/>
        </w:rPr>
      </w:pPr>
      <w:r w:rsidRPr="001A5503">
        <w:rPr>
          <w:rFonts w:ascii="Quattrocento Sans" w:eastAsia="Quattrocento Sans" w:hAnsi="Quattrocento Sans" w:cs="Quattrocento Sans"/>
          <w:sz w:val="24"/>
          <w:szCs w:val="24"/>
          <w:lang w:val="fr-FR"/>
        </w:rPr>
        <w:t>U</w:t>
      </w:r>
      <w:r w:rsidR="001A5503" w:rsidRPr="001A5503">
        <w:rPr>
          <w:rFonts w:ascii="Quattrocento Sans" w:eastAsia="Quattrocento Sans" w:hAnsi="Quattrocento Sans" w:cs="Quattrocento Sans"/>
          <w:sz w:val="24"/>
          <w:szCs w:val="24"/>
          <w:lang w:val="fr-FR"/>
        </w:rPr>
        <w:t xml:space="preserve">tiliser cette </w:t>
      </w:r>
      <w:proofErr w:type="spellStart"/>
      <w:r w:rsidR="001A5503" w:rsidRPr="001A5503">
        <w:rPr>
          <w:rFonts w:ascii="Quattrocento Sans" w:eastAsia="Quattrocento Sans" w:hAnsi="Quattrocento Sans" w:cs="Quattrocento Sans"/>
          <w:sz w:val="24"/>
          <w:szCs w:val="24"/>
          <w:lang w:val="fr-FR"/>
        </w:rPr>
        <w:t>resource</w:t>
      </w:r>
      <w:proofErr w:type="spellEnd"/>
      <w:r w:rsidR="001A5503" w:rsidRPr="001A5503">
        <w:rPr>
          <w:rFonts w:ascii="Quattrocento Sans" w:eastAsia="Quattrocento Sans" w:hAnsi="Quattrocento Sans" w:cs="Quattrocento Sans"/>
          <w:sz w:val="24"/>
          <w:szCs w:val="24"/>
          <w:lang w:val="fr-FR"/>
        </w:rPr>
        <w:t xml:space="preserve"> avec un groupe </w:t>
      </w:r>
    </w:p>
    <w:p w14:paraId="6B6AF354" w14:textId="77777777" w:rsidR="003A57E6" w:rsidRPr="001A5503" w:rsidRDefault="003A57E6" w:rsidP="001A5503">
      <w:pPr>
        <w:spacing w:line="360" w:lineRule="auto"/>
        <w:rPr>
          <w:lang w:val="fr-FR"/>
        </w:rPr>
      </w:pPr>
    </w:p>
    <w:p w14:paraId="590C2E1B" w14:textId="3753F31B" w:rsidR="003A57E6" w:rsidRDefault="001A5503" w:rsidP="001A5503">
      <w:pPr>
        <w:shd w:val="clear" w:color="auto" w:fill="FFFFFF"/>
        <w:spacing w:after="225" w:line="360" w:lineRule="auto"/>
        <w:jc w:val="both"/>
        <w:rPr>
          <w:rFonts w:ascii="Quattrocento Sans" w:eastAsia="Quattrocento Sans" w:hAnsi="Quattrocento Sans" w:cs="Quattrocento Sans"/>
          <w:color w:val="000000"/>
          <w:sz w:val="24"/>
          <w:szCs w:val="24"/>
          <w:lang w:val="fr-FR"/>
        </w:rPr>
      </w:pPr>
      <w:r w:rsidRPr="001A5503">
        <w:rPr>
          <w:rFonts w:ascii="Quattrocento Sans" w:eastAsia="Quattrocento Sans" w:hAnsi="Quattrocento Sans" w:cs="Quattrocento Sans"/>
          <w:color w:val="000000"/>
          <w:sz w:val="24"/>
          <w:szCs w:val="24"/>
          <w:lang w:val="fr-FR"/>
        </w:rPr>
        <w:t>Pour utiliser cette ressource avec les apprenants adultes de votre groupe local, nous vous recommandons de commencer par leur montrer la ressource vidéo pour introduire le thème de la Compétence citoyenne - Disciplines artistiques. Cette vidéo aidera les apprenants à comprendre le sujet avant de commencer l'activité de la Fiche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Il faut compter une heure pour compléter cette ressource.</w:t>
      </w:r>
    </w:p>
    <w:p w14:paraId="26A99B3E" w14:textId="77777777" w:rsidR="001A5503" w:rsidRPr="001A5503" w:rsidRDefault="001A5503">
      <w:pPr>
        <w:shd w:val="clear" w:color="auto" w:fill="FFFFFF"/>
        <w:spacing w:after="225" w:line="240" w:lineRule="auto"/>
        <w:jc w:val="both"/>
        <w:rPr>
          <w:rFonts w:ascii="Quattrocento Sans" w:eastAsia="Quattrocento Sans" w:hAnsi="Quattrocento Sans" w:cs="Quattrocento Sans"/>
          <w:color w:val="000000"/>
          <w:sz w:val="24"/>
          <w:szCs w:val="24"/>
          <w:lang w:val="fr-FR"/>
        </w:rPr>
      </w:pPr>
    </w:p>
    <w:p w14:paraId="303F84BD" w14:textId="29604D7B" w:rsidR="003A57E6" w:rsidRPr="001A5503" w:rsidRDefault="00000000" w:rsidP="001A5503">
      <w:pPr>
        <w:pStyle w:val="Titre2"/>
        <w:spacing w:line="360" w:lineRule="auto"/>
        <w:jc w:val="both"/>
        <w:rPr>
          <w:rFonts w:ascii="Quattrocento Sans" w:eastAsia="Quattrocento Sans" w:hAnsi="Quattrocento Sans" w:cs="Quattrocento Sans"/>
          <w:sz w:val="24"/>
          <w:szCs w:val="24"/>
          <w:lang w:val="fr-FR"/>
        </w:rPr>
      </w:pPr>
      <w:r w:rsidRPr="001A5503">
        <w:rPr>
          <w:rFonts w:ascii="Quattrocento Sans" w:eastAsia="Quattrocento Sans" w:hAnsi="Quattrocento Sans" w:cs="Quattrocento Sans"/>
          <w:sz w:val="24"/>
          <w:szCs w:val="24"/>
          <w:lang w:val="fr-FR"/>
        </w:rPr>
        <w:t>Questions</w:t>
      </w:r>
      <w:r w:rsidR="001A5503" w:rsidRPr="001A5503">
        <w:rPr>
          <w:rFonts w:ascii="Quattrocento Sans" w:eastAsia="Quattrocento Sans" w:hAnsi="Quattrocento Sans" w:cs="Quattrocento Sans"/>
          <w:sz w:val="24"/>
          <w:szCs w:val="24"/>
          <w:lang w:val="fr-FR"/>
        </w:rPr>
        <w:t xml:space="preserve"> de débriefing </w:t>
      </w:r>
    </w:p>
    <w:p w14:paraId="4A6598EF" w14:textId="467305D2" w:rsidR="001A5503" w:rsidRPr="001A5503" w:rsidRDefault="001A5503" w:rsidP="001A5503">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lang w:val="fr-FR"/>
        </w:rPr>
      </w:pPr>
      <w:r w:rsidRPr="001A5503">
        <w:rPr>
          <w:rFonts w:ascii="Quattrocento Sans" w:eastAsia="Quattrocento Sans" w:hAnsi="Quattrocento Sans" w:cs="Quattrocento Sans"/>
          <w:color w:val="000000"/>
          <w:sz w:val="24"/>
          <w:szCs w:val="24"/>
          <w:lang w:val="fr-FR"/>
        </w:rPr>
        <w:t>Que comprenez-vous du terme " compétence citoyenne " ?</w:t>
      </w:r>
    </w:p>
    <w:p w14:paraId="36A8DCF8" w14:textId="0EC13440" w:rsidR="001A5503" w:rsidRPr="001A5503" w:rsidRDefault="001A5503" w:rsidP="001A5503">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lang w:val="fr-FR"/>
        </w:rPr>
      </w:pPr>
      <w:r w:rsidRPr="001A5503">
        <w:rPr>
          <w:rFonts w:ascii="Quattrocento Sans" w:eastAsia="Quattrocento Sans" w:hAnsi="Quattrocento Sans" w:cs="Quattrocento Sans"/>
          <w:color w:val="000000"/>
          <w:sz w:val="24"/>
          <w:szCs w:val="24"/>
          <w:lang w:val="fr-FR"/>
        </w:rPr>
        <w:t>Quelle est votre forme d'art préférée ?</w:t>
      </w:r>
    </w:p>
    <w:p w14:paraId="0731EF43" w14:textId="750688B3" w:rsidR="001A5503" w:rsidRPr="001A5503" w:rsidRDefault="001A5503" w:rsidP="001A5503">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lang w:val="fr-FR"/>
        </w:rPr>
      </w:pPr>
      <w:r w:rsidRPr="001A5503">
        <w:rPr>
          <w:rFonts w:ascii="Quattrocento Sans" w:eastAsia="Quattrocento Sans" w:hAnsi="Quattrocento Sans" w:cs="Quattrocento Sans"/>
          <w:color w:val="000000"/>
          <w:sz w:val="24"/>
          <w:szCs w:val="24"/>
          <w:lang w:val="fr-FR"/>
        </w:rPr>
        <w:t>Vous êtes-vous déjà demandé quels étaient les liens entre l'art et la compétence citoyenne ?</w:t>
      </w:r>
    </w:p>
    <w:p w14:paraId="55E7D171" w14:textId="6AA43F1B" w:rsidR="001A5503" w:rsidRPr="001A5503" w:rsidRDefault="001A5503" w:rsidP="001A5503">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lang w:val="fr-FR"/>
        </w:rPr>
      </w:pPr>
      <w:r w:rsidRPr="001A5503">
        <w:rPr>
          <w:rFonts w:ascii="Quattrocento Sans" w:eastAsia="Quattrocento Sans" w:hAnsi="Quattrocento Sans" w:cs="Quattrocento Sans"/>
          <w:color w:val="000000"/>
          <w:sz w:val="24"/>
          <w:szCs w:val="24"/>
          <w:lang w:val="fr-FR"/>
        </w:rPr>
        <w:t>La tâche est-elle intéressante pour vous ?</w:t>
      </w:r>
    </w:p>
    <w:p w14:paraId="11808790" w14:textId="77777777" w:rsidR="003A57E6" w:rsidRPr="001A5503" w:rsidRDefault="00000000">
      <w:pPr>
        <w:jc w:val="center"/>
        <w:rPr>
          <w:lang w:val="fr-FR"/>
        </w:rP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57EABAC2" wp14:editId="630B88A7">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sidRPr="001A5503">
        <w:rPr>
          <w:rFonts w:ascii="Source Sans Pro" w:eastAsia="Source Sans Pro" w:hAnsi="Source Sans Pro" w:cs="Source Sans Pro"/>
          <w:color w:val="000000"/>
          <w:lang w:val="fr-FR"/>
        </w:rPr>
        <w:t xml:space="preserve"> </w:t>
      </w:r>
    </w:p>
    <w:sectPr w:rsidR="003A57E6" w:rsidRPr="001A5503">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5832" w14:textId="77777777" w:rsidR="001E7E05" w:rsidRDefault="001E7E05">
      <w:pPr>
        <w:spacing w:after="0" w:line="240" w:lineRule="auto"/>
      </w:pPr>
      <w:r>
        <w:separator/>
      </w:r>
    </w:p>
  </w:endnote>
  <w:endnote w:type="continuationSeparator" w:id="0">
    <w:p w14:paraId="5CEB0F2A" w14:textId="77777777" w:rsidR="001E7E05" w:rsidRDefault="001E7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90B6" w14:textId="77777777" w:rsidR="003A57E6" w:rsidRDefault="003A57E6">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22ED" w14:textId="77777777" w:rsidR="001E7E05" w:rsidRDefault="001E7E05">
      <w:pPr>
        <w:spacing w:after="0" w:line="240" w:lineRule="auto"/>
      </w:pPr>
      <w:r>
        <w:separator/>
      </w:r>
    </w:p>
  </w:footnote>
  <w:footnote w:type="continuationSeparator" w:id="0">
    <w:p w14:paraId="2F156C53" w14:textId="77777777" w:rsidR="001E7E05" w:rsidRDefault="001E7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3AD0" w14:textId="77777777" w:rsidR="003A57E6" w:rsidRDefault="003A57E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2FE1"/>
    <w:multiLevelType w:val="multilevel"/>
    <w:tmpl w:val="FAD095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1229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E6"/>
    <w:rsid w:val="001A5503"/>
    <w:rsid w:val="001E7E05"/>
    <w:rsid w:val="003A5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33CF"/>
  <w15:docId w15:val="{D6E7BBD6-8B71-4B60-BCE8-EF563DB6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1gbfgjzZlyDKCSZcwYRbksVcQ==">CgMxLjA4AHIhMXI0OWZqdTM4NWFqSlQ1VjFhMjdueTlHVXZZbGNfN2ZR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592</Words>
  <Characters>3260</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Association SOLUTION</cp:lastModifiedBy>
  <cp:revision>2</cp:revision>
  <dcterms:created xsi:type="dcterms:W3CDTF">2023-08-07T13:59:00Z</dcterms:created>
  <dcterms:modified xsi:type="dcterms:W3CDTF">2023-12-20T09:50:00Z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