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900"/>
        </w:tabs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-18412</wp:posOffset>
            </wp:positionH>
            <wp:positionV relativeFrom="page">
              <wp:posOffset>-39368</wp:posOffset>
            </wp:positionV>
            <wp:extent cx="7625716" cy="10782300"/>
            <wp:effectExtent l="0" t="0" r="0" b="0"/>
            <wp:wrapSquare wrapText="bothSides" distL="57150" distR="57150" distT="57150" distB="57150"/>
            <wp:docPr id="1073741825" name="officeArt object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apeDescription automatically generated" descr="Shape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6" cy="10782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2"/>
        <w:tabs>
          <w:tab w:val="left" w:pos="5341"/>
        </w:tabs>
        <w:jc w:val="center"/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14:textFill>
            <w14:solidFill>
              <w14:srgbClr w14:val="F5B335"/>
            </w14:solidFill>
          </w14:textFill>
        </w:rPr>
      </w:pP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 xml:space="preserve"> Ressources de micro-apprentissage pour permettre aux apprenants adultes peu qualifi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é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pt-PT"/>
          <w14:textFill>
            <w14:solidFill>
              <w14:srgbClr w14:val="F5B335"/>
            </w14:solidFill>
          </w14:textFill>
        </w:rPr>
        <w:t>s de se r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é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engager dans l'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é</w:t>
      </w:r>
      <w:r>
        <w:rPr>
          <w:rFonts w:ascii="Bebas Neue" w:cs="Bebas Neue" w:hAnsi="Bebas Neue" w:eastAsia="Bebas Neue"/>
          <w:outline w:val="0"/>
          <w:color w:val="f5b335"/>
          <w:sz w:val="48"/>
          <w:szCs w:val="48"/>
          <w:u w:color="f5b335"/>
          <w:rtl w:val="0"/>
          <w:lang w:val="fr-FR"/>
          <w14:textFill>
            <w14:solidFill>
              <w14:srgbClr w14:val="F5B335"/>
            </w14:solidFill>
          </w14:textFill>
        </w:rPr>
        <w:t>ducation et la formation</w:t>
      </w:r>
    </w:p>
    <w:p>
      <w:pPr>
        <w:pStyle w:val="Heading 2"/>
        <w:tabs>
          <w:tab w:val="left" w:pos="5341"/>
        </w:tabs>
        <w:rPr>
          <w:rFonts w:ascii="Quattrocento Sans" w:cs="Quattrocento Sans" w:hAnsi="Quattrocento Sans" w:eastAsia="Quattrocento Sans"/>
          <w:b w:val="1"/>
          <w:bCs w:val="1"/>
          <w:outline w:val="0"/>
          <w:color w:val="1f2126"/>
          <w:sz w:val="36"/>
          <w:szCs w:val="36"/>
          <w:u w:color="1f2126"/>
          <w14:textFill>
            <w14:solidFill>
              <w14:srgbClr w14:val="1F2126"/>
            </w14:solidFill>
          </w14:textFill>
        </w:rPr>
      </w:pPr>
      <w:r>
        <w:rPr>
          <w:rFonts w:ascii="Quattrocento Sans" w:cs="Quattrocento Sans" w:hAnsi="Quattrocento Sans" w:eastAsia="Quattrocento Sans"/>
          <w:b w:val="1"/>
          <w:bCs w:val="1"/>
          <w:outline w:val="0"/>
          <w:color w:val="1f2126"/>
          <w:sz w:val="36"/>
          <w:szCs w:val="36"/>
          <w:u w:color="1f2126"/>
          <w:rtl w:val="0"/>
          <w:lang w:val="fr-FR"/>
          <w14:textFill>
            <w14:solidFill>
              <w14:srgbClr w14:val="1F2126"/>
            </w14:solidFill>
          </w14:textFill>
        </w:rPr>
        <w:t xml:space="preserve">Guide de formation pour adultes </w:t>
      </w:r>
    </w:p>
    <w:p>
      <w:pPr>
        <w:pStyle w:val="Body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Plan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en-US"/>
        </w:rPr>
        <w:t xml:space="preserve"> de cours </w:t>
      </w:r>
    </w:p>
    <w:p>
      <w:pPr>
        <w:pStyle w:val="Body"/>
        <w:jc w:val="both"/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L'objectif de ce petit manuel est de vous aider, en tant qu'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ducateur exp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riment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travaillant avec des apprenants adultes peu qualifi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 et marginalis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s, ayant des besoins divers,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utiliser les ressources vid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o et les fiches d'activit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fournies dans la s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rie de ressources de micro-apprentissage pour 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engager les apprenants adultes peu qualifi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 dans votre centre et dans votre communaut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.  Ce petit manuel vous fournira des informations g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n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rales sur le sujet abord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dans la ressource vid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o et des conseils pour vous aider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introduire et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mettre en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œ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uvre 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d'accompagnement avec les apprenants adultes de votre groupe.  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qui a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velopp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e pour accompagner les ressources vid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o a pour but d'approfondir leur compr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hension du sujet abord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dans la ressource vid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o. Enfin, ce manuel vous 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 xml:space="preserve">sentera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galement des questions de 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briefing que vous pourrez utiliser da</w: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2896875</wp:posOffset>
                </wp:positionH>
                <wp:positionV relativeFrom="page">
                  <wp:posOffset>2602229</wp:posOffset>
                </wp:positionV>
                <wp:extent cx="4380752" cy="2572819"/>
                <wp:effectExtent l="0" t="0" r="0" b="0"/>
                <wp:wrapSquare wrapText="bothSides" distL="80010" distR="80010" distT="80010" distB="80010"/>
                <wp:docPr id="1073741826" name="officeArt object" descr="Domaine de compétence et thème transversal Guide de la formation pour adultes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752" cy="25728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Domaine de comp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tence et th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it-IT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è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 xml:space="preserve">me transversal 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64"/>
                                <w:szCs w:val="64"/>
                                <w:u w:color="000000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Guide de la formation pour adultes manual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28.1pt;margin-top:204.9pt;width:344.9pt;height:202.6pt;z-index:251660288;mso-position-horizontal:absolute;mso-position-horizontal-relative:page;mso-position-vertical:absolute;mso-position-vertical-relative:pag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Domaine de comp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tence et th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it-IT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è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 xml:space="preserve">me transversal 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64"/>
                          <w:szCs w:val="64"/>
                          <w:u w:color="000000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Guide de la formation pour adultes manual 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ns votre groupe d'apprenants adultes, afin d'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valuer la convivialit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et la qualit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de 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que vous avez 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alis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e avec eux. </w:t>
      </w:r>
    </w:p>
    <w:p>
      <w:pPr>
        <w:pStyle w:val="Body"/>
        <w:rPr>
          <w:rFonts w:ascii="Quattrocento Sans" w:cs="Quattrocento Sans" w:hAnsi="Quattrocento Sans" w:eastAsia="Quattrocento San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Quattrocento Sans" w:cs="Quattrocento Sans" w:hAnsi="Quattrocento Sans" w:eastAsia="Quattrocento Sans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Le contenu de ce manuel se base sur les ressources des disciplines artistiques </w:t>
      </w:r>
      <w:r>
        <w:rPr>
          <w:rFonts w:ascii="Quattrocento Sans" w:cs="Quattrocento Sans" w:hAnsi="Quattrocento Sans" w:eastAsia="Quattrocento Sans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(sensibilisation </w:t>
      </w:r>
      <w:r>
        <w:rPr>
          <w:rFonts w:ascii="Quattrocento Sans" w:cs="Quattrocento Sans" w:hAnsi="Quattrocento Sans" w:eastAsia="Quattrocento Sans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Quattrocento Sans" w:cs="Quattrocento Sans" w:hAnsi="Quattrocento Sans" w:eastAsia="Quattrocento Sans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culture et comp</w:t>
      </w:r>
      <w:r>
        <w:rPr>
          <w:rFonts w:ascii="Quattrocento Sans" w:cs="Quattrocento Sans" w:hAnsi="Quattrocento Sans" w:eastAsia="Quattrocento Sans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tence d'expression).</w:t>
      </w:r>
    </w:p>
    <w:p>
      <w:pPr>
        <w:pStyle w:val="Body"/>
        <w:rPr>
          <w:rFonts w:ascii="Quattrocento Sans" w:cs="Quattrocento Sans" w:hAnsi="Quattrocento Sans" w:eastAsia="Quattrocento Sans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sentation du sujet </w:t>
      </w:r>
    </w:p>
    <w:p>
      <w:pPr>
        <w:pStyle w:val="Body"/>
        <w:jc w:val="both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Les disciplines artistiques englobent un large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ventail de domaines cr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atifs, chacun ayant un style, des techniques et des traditions qui lui sont propres. Ces disciplines ne sont pas seulement importantes pour leur valeur esth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tique, mais aussi pour leur importance culturelle. Elles servent de moyen d'expression, de communication et de 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flexion, refl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tant les diverses exp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riences, croyances et valeurs des soci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 et des individus.ls.</w:t>
      </w:r>
    </w:p>
    <w:p>
      <w:pPr>
        <w:pStyle w:val="Body"/>
        <w:jc w:val="both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La sensibilisation culturelle et la comp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tence d'expression font 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f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rence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la capacit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de comprendre et d'appr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cier la signification des disciplines artistiques dans diff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rentes cultures, ainsi qu'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la capacit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de communiquer des 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es, des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motions et des exp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riences de mani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è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re efficace par le biais de l'art. Pour 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velopper ces comp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tences, il faut comprendre le contexte historique et culturel des diff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rentes disciplines artistiques et appr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cier les diverses perspectives et exp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riences qui fa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ç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onnent l'expression artistique.</w:t>
      </w:r>
    </w:p>
    <w:p>
      <w:pPr>
        <w:pStyle w:val="Body"/>
        <w:jc w:val="both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Dans ce contexte, l'exploration des disciplines artistiques peut aider les individus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mieux comprendre et appr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cier la diversit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culturelle, tout en stimulant leurs capacit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 cr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atives et leur esprit critique. De la peinture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la sculpture en passant par la musique et la danse, chaque discipline artistique offre une fa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ç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on unique de s'exprimer et de s'engager dans le monde qui nous entoure.</w:t>
      </w:r>
    </w:p>
    <w:p>
      <w:pPr>
        <w:pStyle w:val="Heading 2"/>
        <w:rPr>
          <w:rFonts w:ascii="Quattrocento Sans" w:cs="Quattrocento Sans" w:hAnsi="Quattrocento Sans" w:eastAsia="Quattrocento Sans"/>
          <w:sz w:val="24"/>
          <w:szCs w:val="24"/>
        </w:rPr>
      </w:pPr>
    </w:p>
    <w:p>
      <w:pPr>
        <w:pStyle w:val="Heading 2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Description de 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</w:p>
    <w:p>
      <w:pPr>
        <w:pStyle w:val="Body"/>
        <w:rPr>
          <w:rFonts w:ascii="Quattrocento Sans" w:cs="Quattrocento Sans" w:hAnsi="Quattrocento Sans" w:eastAsia="Quattrocento Sans"/>
          <w:sz w:val="24"/>
          <w:szCs w:val="24"/>
        </w:rPr>
      </w:pPr>
    </w:p>
    <w:p>
      <w:pPr>
        <w:pStyle w:val="Body"/>
        <w:jc w:val="both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Dans le guide de formation, les apprenants adultes ont l'occasion unique de se plonger dans l'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tude de cas du projet innovant "Eadrainn / Between Us" en Irlande et en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cosse et de 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couvrir comment il a aid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les adultes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velopper leur conscience culturelle et leurs comp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tences d'expression par le biais de la danse. Les apprenants ont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galement la possibilit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de participer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une 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amusante et interactive intitul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e "Culture in Collage : Cr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er une identit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visuelle", au cours de laquelle ils 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couvriront comment cr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er un collage sur ce qu'ils pensent repr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senter leur identit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culturelle et deviendront ainsi plus conscients de leur culture et plus expressifs. Vous pouvez ainsi inciter les apprenants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couvrir que 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ê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me les 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s les plus improbables peuvent conduire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des am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liorations significatives de leur conscience culturelle et de leurs comp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tences en mati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è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re d'expression.</w:t>
      </w:r>
    </w:p>
    <w:p>
      <w:pPr>
        <w:pStyle w:val="Heading 2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Utiliser cette ressource avec un groupe </w:t>
      </w:r>
    </w:p>
    <w:p>
      <w:pPr>
        <w:pStyle w:val="Body"/>
        <w:rPr>
          <w:rFonts w:ascii="Quattrocento Sans" w:cs="Quattrocento Sans" w:hAnsi="Quattrocento Sans" w:eastAsia="Quattrocento Sans"/>
          <w:sz w:val="24"/>
          <w:szCs w:val="24"/>
        </w:rPr>
      </w:pPr>
    </w:p>
    <w:p>
      <w:pPr>
        <w:pStyle w:val="Body"/>
        <w:jc w:val="both"/>
        <w:rPr>
          <w:rFonts w:ascii="Quattrocento Sans" w:cs="Quattrocento Sans" w:hAnsi="Quattrocento Sans" w:eastAsia="Quattrocento Sans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Pour utiliser cette ressource avec les apprenants adultes de votre groupe local, nous vous recommandons de commencer par leur montrer la ressource vid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o pour introduire le th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è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me des disciplines artistiques (conscience culturelle et comp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tence d'expression). Cette vid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o aidera les apprenants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 xml:space="preserve">à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comprendre le sujet avant de commencer 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du polycopi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de l'apprenant. Une fois qu'ils auront acquis une connaissance g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n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rale du th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è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me, ils pourront commencer le polycopi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. Pour cela, nous vous recommandons d'imprimer un polycopi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par apprenant. Tout ce dont les apprenants ont besoin pour cette ressource est un stylo pour compl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ter le polycopi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de l'apprenant et un ordinateur pour visionner la vid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o. Il faut compter une heure pour compl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ter cette ressource.</w:t>
      </w:r>
    </w:p>
    <w:p>
      <w:pPr>
        <w:pStyle w:val="Heading 2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Questions de 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nl-NL"/>
        </w:rPr>
        <w:t>briefing</w:t>
      </w:r>
      <w:r>
        <w:rPr>
          <w:rFonts w:ascii="Quattrocento Sans" w:cs="Quattrocento Sans" w:hAnsi="Quattrocento Sans" w:eastAsia="Quattrocento Sans"/>
          <w:sz w:val="24"/>
          <w:szCs w:val="24"/>
        </w:rPr>
        <w:br w:type="textWrapping"/>
      </w:r>
    </w:p>
    <w:p>
      <w:pPr>
        <w:pStyle w:val="Body"/>
        <w:jc w:val="both"/>
        <w:rPr>
          <w:rFonts w:ascii="Quattrocento Sans" w:cs="Quattrocento Sans" w:hAnsi="Quattrocento Sans" w:eastAsia="Quattrocento Sans"/>
          <w:sz w:val="24"/>
          <w:szCs w:val="24"/>
        </w:rPr>
      </w:pP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Voici quelques questions de d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briefing potentielles auxquelles les participants peuvent 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fl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é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chir apr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it-IT"/>
        </w:rPr>
        <w:t>è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s avoir termin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>le cas et l'activit</w:t>
      </w:r>
      <w:r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  <w:t xml:space="preserve">é </w:t>
      </w:r>
      <w:r>
        <w:rPr>
          <w:rFonts w:ascii="Quattrocento Sans" w:cs="Quattrocento Sans" w:hAnsi="Quattrocento Sans" w:eastAsia="Quattrocento Sans"/>
          <w:sz w:val="24"/>
          <w:szCs w:val="24"/>
          <w:rtl w:val="0"/>
        </w:rPr>
        <w:t>:</w:t>
      </w:r>
    </w:p>
    <w:p>
      <w:pPr>
        <w:pStyle w:val="Body"/>
        <w:numPr>
          <w:ilvl w:val="0"/>
          <w:numId w:val="2"/>
        </w:numPr>
        <w:bidi w:val="0"/>
        <w:spacing w:after="0"/>
        <w:ind w:right="0"/>
        <w:jc w:val="both"/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</w:pP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Qu'est-ce qui vous a le plus surpris dans le projet "Eadrainn / Between Us" en Irlande/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cosse ?</w:t>
      </w:r>
    </w:p>
    <w:p>
      <w:pPr>
        <w:pStyle w:val="Body"/>
        <w:numPr>
          <w:ilvl w:val="0"/>
          <w:numId w:val="2"/>
        </w:numPr>
        <w:bidi w:val="0"/>
        <w:spacing w:after="0"/>
        <w:ind w:right="0"/>
        <w:jc w:val="both"/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</w:pP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En quoi le projet "Eadrainn / Between Us" va-t-il au-del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de l'enseignement de la sensibilisation culturelle et des comp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tences d'expression ?</w:t>
      </w:r>
    </w:p>
    <w:p>
      <w:pPr>
        <w:pStyle w:val="Body"/>
        <w:numPr>
          <w:ilvl w:val="0"/>
          <w:numId w:val="2"/>
        </w:numPr>
        <w:bidi w:val="0"/>
        <w:spacing w:after="0"/>
        <w:ind w:right="0"/>
        <w:jc w:val="both"/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</w:pP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Quel est le principal enseignement que vous tirerez de cette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tude de cas et de cette activit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? Comment l'appliquerez-vous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votre vie ou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votre travail ?</w:t>
      </w:r>
    </w:p>
    <w:p>
      <w:pPr>
        <w:pStyle w:val="Body"/>
        <w:bidi w:val="0"/>
        <w:spacing w:after="0"/>
        <w:ind w:left="0" w:right="0" w:firstLine="0"/>
        <w:jc w:val="both"/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spacing w:after="0"/>
        <w:ind w:right="0"/>
        <w:jc w:val="both"/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</w:pP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Comment avez-vous v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 l'activit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"La culture en collage : Cr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er une identit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visuelle" ? L'avez-vous trouv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 utile pour am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liorer votre sensibilit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culturelle et votre comp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tence en mati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re d'expression ?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Body"/>
        <w:numPr>
          <w:ilvl w:val="0"/>
          <w:numId w:val="2"/>
        </w:numPr>
        <w:bidi w:val="0"/>
        <w:spacing w:after="0"/>
        <w:ind w:right="0"/>
        <w:jc w:val="both"/>
        <w:rPr>
          <w:rFonts w:ascii="Quattrocento Sans" w:cs="Quattrocento Sans" w:hAnsi="Quattrocento Sans" w:eastAsia="Quattrocento Sans"/>
          <w:sz w:val="24"/>
          <w:szCs w:val="24"/>
          <w:rtl w:val="0"/>
          <w:lang w:val="fr-FR"/>
        </w:rPr>
      </w:pP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Comment les disciplines artistiques peuvent-elles 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tre int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gr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es dans les programmes d'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ducation ou de formation destin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aux adultes peu qualifi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s afin d'am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liorer leurs comp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tences en mati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Fonts w:ascii="Quattrocento Sans" w:cs="Quattrocento Sans" w:hAnsi="Quattrocento Sans" w:eastAsia="Quattrocento Sans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re de sensibilisation et d'expression culturelles ?</w:t>
      </w:r>
    </w:p>
    <w:p>
      <w:pPr>
        <w:pStyle w:val="Body"/>
      </w:pPr>
    </w:p>
    <w:p>
      <w:pPr>
        <w:pStyle w:val="Body"/>
        <w:jc w:val="center"/>
      </w:pPr>
      <w:r>
        <w:rPr>
          <w:rFonts w:ascii="Source Sans Pro" w:cs="Source Sans Pro" w:hAnsi="Source Sans Pro" w:eastAsia="Source Sans Pr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-17143</wp:posOffset>
            </wp:positionV>
            <wp:extent cx="7625716" cy="10765156"/>
            <wp:effectExtent l="0" t="0" r="0" b="0"/>
            <wp:wrapSquare wrapText="bothSides" distL="57150" distR="57150" distT="57150" distB="57150"/>
            <wp:docPr id="1073741827" name="officeArt object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imelineDescription automatically generated" descr="Timeline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6" cy="10765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Source Sans Pro" w:cs="Source Sans Pro" w:hAnsi="Source Sans Pro" w:eastAsia="Source Sans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1440" w:right="1440" w:bottom="1440" w:left="1440" w:header="0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Bebas Neue">
    <w:charset w:val="00"/>
    <w:family w:val="roman"/>
    <w:pitch w:val="default"/>
  </w:font>
  <w:font w:name="Quattrocento Sans">
    <w:charset w:val="00"/>
    <w:family w:val="roman"/>
    <w:pitch w:val="default"/>
  </w:font>
  <w:font w:name="Helvetica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c000"/>
      <w:spacing w:val="0"/>
      <w:kern w:val="0"/>
      <w:position w:val="0"/>
      <w:sz w:val="26"/>
      <w:szCs w:val="26"/>
      <w:u w:val="none" w:color="ffc000"/>
      <w:shd w:val="nil" w:color="auto" w:fill="auto"/>
      <w:vertAlign w:val="baseline"/>
      <w:lang w:val="fr-FR"/>
      <w14:textOutline>
        <w14:noFill/>
      </w14:textOutline>
      <w14:textFill>
        <w14:solidFill>
          <w14:srgbClr w14:val="FFC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