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9D3E" w14:textId="4CC163B3" w:rsidR="00942602" w:rsidRDefault="00ED6A96">
      <w:pPr>
        <w:tabs>
          <w:tab w:val="left" w:pos="900"/>
        </w:tabs>
      </w:pPr>
      <w:r>
        <w:rPr>
          <w:noProof/>
        </w:rPr>
        <mc:AlternateContent>
          <mc:Choice Requires="wps">
            <w:drawing>
              <wp:anchor distT="45720" distB="45720" distL="114300" distR="114300" simplePos="0" relativeHeight="251659264" behindDoc="0" locked="0" layoutInCell="1" hidden="0" allowOverlap="1" wp14:anchorId="77C9D3F0" wp14:editId="542540D2">
                <wp:simplePos x="0" y="0"/>
                <wp:positionH relativeFrom="column">
                  <wp:posOffset>1658620</wp:posOffset>
                </wp:positionH>
                <wp:positionV relativeFrom="paragraph">
                  <wp:posOffset>1605280</wp:posOffset>
                </wp:positionV>
                <wp:extent cx="4311650" cy="2264410"/>
                <wp:effectExtent l="0" t="0" r="0" b="254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311650" cy="2264410"/>
                        </a:xfrm>
                        <a:prstGeom prst="rect">
                          <a:avLst/>
                        </a:prstGeom>
                        <a:noFill/>
                        <a:ln>
                          <a:noFill/>
                        </a:ln>
                      </wps:spPr>
                      <wps:txbx>
                        <w:txbxContent>
                          <w:p w14:paraId="0821CBA7" w14:textId="77777777" w:rsidR="00942602" w:rsidRDefault="00000000">
                            <w:pPr>
                              <w:spacing w:line="258" w:lineRule="auto"/>
                              <w:jc w:val="right"/>
                              <w:textDirection w:val="btLr"/>
                            </w:pPr>
                            <w:r>
                              <w:rPr>
                                <w:rFonts w:ascii="Bebas Neue" w:eastAsia="Bebas Neue" w:hAnsi="Bebas Neue" w:cs="Bebas Neue"/>
                                <w:color w:val="F5B335"/>
                                <w:sz w:val="72"/>
                              </w:rPr>
                              <w:t>Multilingual Competence and Cultural disciplines</w:t>
                            </w:r>
                          </w:p>
                          <w:p w14:paraId="138E8D61" w14:textId="77777777" w:rsidR="00942602"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C9D3F0" id="Rectangle 5" o:spid="_x0000_s1026" style="position:absolute;margin-left:130.6pt;margin-top:126.4pt;width:339.5pt;height:17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" filled="f" stroked="f">
                <v:textbox inset="2.53958mm,1.2694mm,2.53958mm,1.2694mm">
                  <w:txbxContent>
                    <w:p w14:paraId="0821CBA7" w14:textId="77777777" w:rsidR="00942602" w:rsidRDefault="00000000">
                      <w:pPr>
                        <w:spacing w:line="258" w:lineRule="auto"/>
                        <w:jc w:val="right"/>
                        <w:textDirection w:val="btLr"/>
                      </w:pPr>
                      <w:r>
                        <w:rPr>
                          <w:rFonts w:ascii="Bebas Neue" w:eastAsia="Bebas Neue" w:hAnsi="Bebas Neue" w:cs="Bebas Neue"/>
                          <w:color w:val="F5B335"/>
                          <w:sz w:val="72"/>
                        </w:rPr>
                        <w:t>Multilingual Competence and Cultural disciplines</w:t>
                      </w:r>
                    </w:p>
                    <w:p w14:paraId="138E8D61" w14:textId="77777777" w:rsidR="00942602" w:rsidRDefault="00000000">
                      <w:pPr>
                        <w:spacing w:line="258" w:lineRule="auto"/>
                        <w:jc w:val="right"/>
                        <w:textDirection w:val="btLr"/>
                      </w:pPr>
                      <w:r>
                        <w:rPr>
                          <w:rFonts w:ascii="Bebas Neue" w:eastAsia="Bebas Neue" w:hAnsi="Bebas Neue" w:cs="Bebas Neue"/>
                          <w:color w:val="000000"/>
                          <w:sz w:val="64"/>
                        </w:rPr>
                        <w:t xml:space="preserve">Adult educator manual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1F3A7FBA" wp14:editId="08A8B2F1">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0F05275F" w14:textId="77777777" w:rsidR="00942602"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53C424CD" w14:textId="77777777" w:rsidR="00942602"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26C4BCA4" w14:textId="77777777" w:rsidR="00942602" w:rsidRDefault="00942602">
      <w:pPr>
        <w:jc w:val="both"/>
        <w:rPr>
          <w:rFonts w:ascii="Quattrocento Sans" w:eastAsia="Quattrocento Sans" w:hAnsi="Quattrocento Sans" w:cs="Quattrocento Sans"/>
          <w:sz w:val="24"/>
          <w:szCs w:val="24"/>
        </w:rPr>
      </w:pPr>
    </w:p>
    <w:p w14:paraId="6485B631" w14:textId="77777777" w:rsidR="00942602" w:rsidRDefault="00000000">
      <w:pP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78AB751A" w14:textId="77777777" w:rsidR="00942602" w:rsidRDefault="00942602">
      <w:pPr>
        <w:spacing w:line="360" w:lineRule="auto"/>
        <w:rPr>
          <w:rFonts w:ascii="Quattrocento Sans" w:eastAsia="Quattrocento Sans" w:hAnsi="Quattrocento Sans" w:cs="Quattrocento Sans"/>
          <w:color w:val="000000"/>
          <w:sz w:val="24"/>
          <w:szCs w:val="24"/>
        </w:rPr>
      </w:pPr>
    </w:p>
    <w:p w14:paraId="64B85796" w14:textId="77777777" w:rsidR="00942602" w:rsidRDefault="00000000">
      <w:pPr>
        <w:spacing w:line="360" w:lineRule="auto"/>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w:t>
      </w:r>
      <w:r>
        <w:rPr>
          <w:rFonts w:ascii="Quattrocento Sans" w:eastAsia="Quattrocento Sans" w:hAnsi="Quattrocento Sans" w:cs="Quattrocento Sans"/>
          <w:i/>
          <w:color w:val="000000"/>
          <w:sz w:val="24"/>
          <w:szCs w:val="24"/>
        </w:rPr>
        <w:t>Building Multilingual Competencies through Culture</w:t>
      </w:r>
      <w:r>
        <w:rPr>
          <w:rFonts w:ascii="Quattrocento Sans" w:eastAsia="Quattrocento Sans" w:hAnsi="Quattrocento Sans" w:cs="Quattrocento Sans"/>
          <w:color w:val="000000"/>
          <w:sz w:val="24"/>
          <w:szCs w:val="24"/>
        </w:rPr>
        <w:t xml:space="preserve">. </w:t>
      </w:r>
    </w:p>
    <w:p w14:paraId="0F04FA20" w14:textId="77777777" w:rsidR="00942602" w:rsidRDefault="00942602">
      <w:pPr>
        <w:rPr>
          <w:rFonts w:ascii="Quattrocento Sans" w:eastAsia="Quattrocento Sans" w:hAnsi="Quattrocento Sans" w:cs="Quattrocento Sans"/>
          <w:i/>
          <w:color w:val="000000"/>
          <w:sz w:val="24"/>
          <w:szCs w:val="24"/>
        </w:rPr>
      </w:pPr>
    </w:p>
    <w:p w14:paraId="4CFC4EED" w14:textId="77777777" w:rsidR="00942602"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066CC7DF" w14:textId="77777777" w:rsidR="00942602" w:rsidRDefault="00942602">
      <w:pPr>
        <w:rPr>
          <w:rFonts w:ascii="Quattrocento Sans" w:eastAsia="Quattrocento Sans" w:hAnsi="Quattrocento Sans" w:cs="Quattrocento Sans"/>
          <w:sz w:val="24"/>
          <w:szCs w:val="24"/>
        </w:rPr>
      </w:pPr>
    </w:p>
    <w:p w14:paraId="163C6D76" w14:textId="77777777" w:rsidR="00942602"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The culture of a country such as traditions, cooking, national holidays, gestures, communication or traditional music can help low-skilled adults develop their multilingual competencies.  Throughout the ONE-STEP UP resources, low-skilled adults can explore how these learning materials can positively impact their ability to work with vocabulary and grammar. </w:t>
      </w:r>
    </w:p>
    <w:p w14:paraId="27400B3B" w14:textId="77777777" w:rsidR="00942602" w:rsidRDefault="00942602">
      <w:pPr>
        <w:rPr>
          <w:rFonts w:ascii="Quattrocento Sans" w:eastAsia="Quattrocento Sans" w:hAnsi="Quattrocento Sans" w:cs="Quattrocento Sans"/>
          <w:sz w:val="24"/>
          <w:szCs w:val="24"/>
        </w:rPr>
      </w:pPr>
    </w:p>
    <w:p w14:paraId="5EFB9539" w14:textId="77777777" w:rsidR="00942602"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Activity </w:t>
      </w:r>
    </w:p>
    <w:p w14:paraId="74988DC9" w14:textId="77777777" w:rsidR="00942602" w:rsidRDefault="00942602"/>
    <w:p w14:paraId="1B844F4F" w14:textId="77777777" w:rsidR="00942602"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 the Learner Handout, low-skilled adults have the opportunity to delve into the initiative done by the city of Paris called “Adult Lessons” which offers training in foreign </w:t>
      </w:r>
      <w:r>
        <w:rPr>
          <w:rFonts w:ascii="Quattrocento Sans" w:eastAsia="Quattrocento Sans" w:hAnsi="Quattrocento Sans" w:cs="Quattrocento Sans"/>
          <w:sz w:val="24"/>
          <w:szCs w:val="24"/>
        </w:rPr>
        <w:lastRenderedPageBreak/>
        <w:t>languages. These courses are interactive and change from the ordinary ones because they focus not only on the technical and grammatical aspects of the language but also explore the world of cooking, cinema or literature. These language courses also immerse themselves in the culture of the target language.</w:t>
      </w:r>
    </w:p>
    <w:p w14:paraId="3DE343C5" w14:textId="77777777" w:rsidR="00942602"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Moreover, learners have the possibility to engage in the fun and interactive “A little cultural trip at home” activity. They will discover how listening to traditional music and cooking typical dishes of the target language can improve their ability to talk and communicate in another language. With this, you can inspire learners to discover how cultural disciplines can lead to significant improvements in their multilingual skills. </w:t>
      </w:r>
    </w:p>
    <w:p w14:paraId="52ABADA3" w14:textId="77777777" w:rsidR="00942602"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1F313496" w14:textId="77777777" w:rsidR="00942602" w:rsidRDefault="00942602">
      <w:pPr>
        <w:shd w:val="clear" w:color="auto" w:fill="FFFFFF"/>
        <w:spacing w:after="225" w:line="360" w:lineRule="auto"/>
        <w:jc w:val="both"/>
        <w:rPr>
          <w:rFonts w:ascii="Quattrocento Sans" w:eastAsia="Quattrocento Sans" w:hAnsi="Quattrocento Sans" w:cs="Quattrocento Sans"/>
          <w:color w:val="000000"/>
          <w:sz w:val="24"/>
          <w:szCs w:val="24"/>
        </w:rPr>
      </w:pPr>
    </w:p>
    <w:p w14:paraId="3DBB2753" w14:textId="77777777" w:rsidR="00942602"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To use this resource with adult learners in your local group, we recommend that you begin by showing them the video resource to introduce the theme of </w:t>
      </w:r>
      <w:r>
        <w:rPr>
          <w:rFonts w:ascii="Quattrocento Sans" w:eastAsia="Quattrocento Sans" w:hAnsi="Quattrocento Sans" w:cs="Quattrocento Sans"/>
          <w:i/>
          <w:color w:val="000000"/>
          <w:sz w:val="24"/>
          <w:szCs w:val="24"/>
        </w:rPr>
        <w:t>Multilingual Competencies and Cultural disciplines.</w:t>
      </w:r>
      <w:r>
        <w:rPr>
          <w:rFonts w:ascii="Quattrocento Sans" w:eastAsia="Quattrocento Sans" w:hAnsi="Quattrocento Sans" w:cs="Quattrocento Sans"/>
          <w:color w:val="000000"/>
          <w:sz w:val="24"/>
          <w:szCs w:val="24"/>
        </w:rPr>
        <w:t xml:space="preserve"> 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4FE063E8" w14:textId="77777777" w:rsidR="00942602"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6E65A36E" w14:textId="77777777" w:rsidR="00942602" w:rsidRDefault="00942602"/>
    <w:p w14:paraId="4C3B9F3B" w14:textId="77777777" w:rsidR="00942602" w:rsidRDefault="00000000">
      <w:pPr>
        <w:spacing w:line="360" w:lineRule="auto"/>
        <w:rPr>
          <w:rFonts w:ascii="Quattrocento Sans" w:eastAsia="Quattrocento Sans" w:hAnsi="Quattrocento Sans" w:cs="Quattrocento Sans"/>
          <w:sz w:val="24"/>
          <w:szCs w:val="24"/>
        </w:rPr>
      </w:pPr>
      <w:bookmarkStart w:id="0" w:name="_heading=h.gjdgxs" w:colFirst="0" w:colLast="0"/>
      <w:bookmarkEnd w:id="0"/>
      <w:r>
        <w:rPr>
          <w:rFonts w:ascii="Quattrocento Sans" w:eastAsia="Quattrocento Sans" w:hAnsi="Quattrocento Sans" w:cs="Quattrocento Sans"/>
          <w:sz w:val="24"/>
          <w:szCs w:val="24"/>
        </w:rPr>
        <w:t>Here are some potential debriefing questions for participants to reflect on after completing the case study and activity:</w:t>
      </w:r>
    </w:p>
    <w:p w14:paraId="26588668" w14:textId="77777777" w:rsidR="00942602" w:rsidRDefault="00000000">
      <w:pPr>
        <w:numPr>
          <w:ilvl w:val="0"/>
          <w:numId w:val="1"/>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surprises you the most about the </w:t>
      </w:r>
      <w:proofErr w:type="gramStart"/>
      <w:r>
        <w:rPr>
          <w:rFonts w:ascii="Quattrocento Sans" w:eastAsia="Quattrocento Sans" w:hAnsi="Quattrocento Sans" w:cs="Quattrocento Sans"/>
          <w:color w:val="000000"/>
          <w:sz w:val="24"/>
          <w:szCs w:val="24"/>
        </w:rPr>
        <w:t>ESL  Language</w:t>
      </w:r>
      <w:proofErr w:type="gramEnd"/>
      <w:r>
        <w:rPr>
          <w:rFonts w:ascii="Quattrocento Sans" w:eastAsia="Quattrocento Sans" w:hAnsi="Quattrocento Sans" w:cs="Quattrocento Sans"/>
          <w:color w:val="000000"/>
          <w:sz w:val="24"/>
          <w:szCs w:val="24"/>
        </w:rPr>
        <w:t xml:space="preserve"> Plus Cooking programs? </w:t>
      </w:r>
    </w:p>
    <w:p w14:paraId="2D2913CE" w14:textId="77777777" w:rsidR="00942602" w:rsidRDefault="00000000">
      <w:pPr>
        <w:numPr>
          <w:ilvl w:val="0"/>
          <w:numId w:val="2"/>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surprises you the most about the Adult Lessons initiative from the City of Paris? </w:t>
      </w:r>
    </w:p>
    <w:p w14:paraId="1BE99F61" w14:textId="77777777" w:rsidR="00942602" w:rsidRDefault="00000000">
      <w:pPr>
        <w:numPr>
          <w:ilvl w:val="0"/>
          <w:numId w:val="2"/>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In what ways did these programs/initiatives go beyond just teaching language skills? </w:t>
      </w:r>
    </w:p>
    <w:p w14:paraId="6C940209" w14:textId="77777777" w:rsidR="00942602" w:rsidRDefault="00000000">
      <w:pPr>
        <w:numPr>
          <w:ilvl w:val="0"/>
          <w:numId w:val="2"/>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What is one key takeaway that you will bring with you from this case study and activity? How will you apply it to your own life or work?</w:t>
      </w:r>
    </w:p>
    <w:p w14:paraId="051EFD26" w14:textId="77777777" w:rsidR="00942602" w:rsidRDefault="00000000">
      <w:pPr>
        <w:numPr>
          <w:ilvl w:val="0"/>
          <w:numId w:val="2"/>
        </w:numPr>
        <w:pBdr>
          <w:top w:val="nil"/>
          <w:left w:val="nil"/>
          <w:bottom w:val="nil"/>
          <w:right w:val="nil"/>
          <w:between w:val="nil"/>
        </w:pBdr>
        <w:spacing w:after="0"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was your experience like during the “A little cultural trip at home” activity? Did you find it helpful in improving your language skills? </w:t>
      </w:r>
    </w:p>
    <w:p w14:paraId="10E2413F" w14:textId="77777777" w:rsidR="00942602" w:rsidRDefault="00000000">
      <w:pPr>
        <w:numPr>
          <w:ilvl w:val="0"/>
          <w:numId w:val="2"/>
        </w:numPr>
        <w:pBdr>
          <w:top w:val="nil"/>
          <w:left w:val="nil"/>
          <w:bottom w:val="nil"/>
          <w:right w:val="nil"/>
          <w:between w:val="nil"/>
        </w:pBdr>
        <w:spacing w:line="360" w:lineRule="auto"/>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lastRenderedPageBreak/>
        <w:t xml:space="preserve">How can </w:t>
      </w:r>
      <w:r>
        <w:rPr>
          <w:rFonts w:ascii="Quattrocento Sans" w:eastAsia="Quattrocento Sans" w:hAnsi="Quattrocento Sans" w:cs="Quattrocento Sans"/>
          <w:sz w:val="24"/>
          <w:szCs w:val="24"/>
        </w:rPr>
        <w:t>c</w:t>
      </w:r>
      <w:r>
        <w:rPr>
          <w:rFonts w:ascii="Quattrocento Sans" w:eastAsia="Quattrocento Sans" w:hAnsi="Quattrocento Sans" w:cs="Quattrocento Sans"/>
          <w:color w:val="000000"/>
          <w:sz w:val="24"/>
          <w:szCs w:val="24"/>
        </w:rPr>
        <w:t xml:space="preserve">ulture be incorporated into education or training programs for low-skilled adults to improve their language skills? </w:t>
      </w:r>
    </w:p>
    <w:p w14:paraId="52EDC854" w14:textId="77777777" w:rsidR="00942602" w:rsidRDefault="00942602"/>
    <w:p w14:paraId="072B326F" w14:textId="77777777" w:rsidR="00942602"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3A0148C5" wp14:editId="5E516EC1">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942602">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14305" w14:textId="77777777" w:rsidR="00001753" w:rsidRDefault="00001753">
      <w:pPr>
        <w:spacing w:after="0" w:line="240" w:lineRule="auto"/>
      </w:pPr>
      <w:r>
        <w:separator/>
      </w:r>
    </w:p>
  </w:endnote>
  <w:endnote w:type="continuationSeparator" w:id="0">
    <w:p w14:paraId="6BA086D0" w14:textId="77777777" w:rsidR="00001753" w:rsidRDefault="0000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5EA7" w14:textId="77777777" w:rsidR="00942602" w:rsidRDefault="00942602">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4DB4" w14:textId="77777777" w:rsidR="00001753" w:rsidRDefault="00001753">
      <w:pPr>
        <w:spacing w:after="0" w:line="240" w:lineRule="auto"/>
      </w:pPr>
      <w:r>
        <w:separator/>
      </w:r>
    </w:p>
  </w:footnote>
  <w:footnote w:type="continuationSeparator" w:id="0">
    <w:p w14:paraId="397D8F40" w14:textId="77777777" w:rsidR="00001753" w:rsidRDefault="00001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39E7" w14:textId="77777777" w:rsidR="00942602" w:rsidRDefault="0094260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4AE8"/>
    <w:multiLevelType w:val="multilevel"/>
    <w:tmpl w:val="B136F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6210BA"/>
    <w:multiLevelType w:val="multilevel"/>
    <w:tmpl w:val="E8906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9416657">
    <w:abstractNumId w:val="0"/>
  </w:num>
  <w:num w:numId="2" w16cid:durableId="1663506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02"/>
    <w:rsid w:val="00001753"/>
    <w:rsid w:val="00942602"/>
    <w:rsid w:val="00ED6A96"/>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3E89"/>
  <w15:docId w15:val="{17A0098A-D134-4AF9-8FFF-DAF8FBAF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UBm9pagbTkTYM5ZJoLpTs74yQ==">CgMxLjAyCGguZ2pkZ3hzOAByITFQRVlNSHRxb3lZZXYwUF9MRmU0bmloQkFIZ3N6d1Q2Rw==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600</Words>
  <Characters>3422</Characters>
  <Application>Microsoft Office Word</Application>
  <DocSecurity>0</DocSecurity>
  <Lines>28</Lines>
  <Paragraphs>8</Paragraphs>
  <ScaleCrop>false</ScaleCrop>
  <Company>HP Inc.</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2024-03-14T13:55:00Z</cp:lastPrinted>
  <dcterms:created xsi:type="dcterms:W3CDTF">2023-02-14T11:52:00Z</dcterms:created>
  <dcterms:modified xsi:type="dcterms:W3CDTF">2024-03-14T13:55:00Z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