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A2F3" w14:textId="1E53F9AB" w:rsidR="00D41166" w:rsidRDefault="00FA2ED7">
      <w:pPr>
        <w:tabs>
          <w:tab w:val="left" w:pos="900"/>
        </w:tabs>
      </w:pPr>
      <w:r>
        <w:rPr>
          <w:noProof/>
        </w:rPr>
        <mc:AlternateContent>
          <mc:Choice Requires="wps">
            <w:drawing>
              <wp:anchor distT="45720" distB="45720" distL="114300" distR="114300" simplePos="0" relativeHeight="251659264" behindDoc="0" locked="0" layoutInCell="1" hidden="0" allowOverlap="1" wp14:anchorId="78423C5B" wp14:editId="4F5DEFF7">
                <wp:simplePos x="0" y="0"/>
                <wp:positionH relativeFrom="column">
                  <wp:posOffset>1934845</wp:posOffset>
                </wp:positionH>
                <wp:positionV relativeFrom="paragraph">
                  <wp:posOffset>1605280</wp:posOffset>
                </wp:positionV>
                <wp:extent cx="4025900" cy="271081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2710815"/>
                        </a:xfrm>
                        <a:prstGeom prst="rect">
                          <a:avLst/>
                        </a:prstGeom>
                        <a:noFill/>
                        <a:ln>
                          <a:noFill/>
                        </a:ln>
                      </wps:spPr>
                      <wps:txbx>
                        <w:txbxContent>
                          <w:p w14:paraId="2D01B839" w14:textId="77777777" w:rsidR="00D41166" w:rsidRDefault="00000000">
                            <w:pPr>
                              <w:spacing w:line="258" w:lineRule="auto"/>
                              <w:jc w:val="right"/>
                              <w:textDirection w:val="btLr"/>
                            </w:pPr>
                            <w:r>
                              <w:rPr>
                                <w:rFonts w:ascii="Bebas Neue" w:eastAsia="Bebas Neue" w:hAnsi="Bebas Neue" w:cs="Bebas Neue"/>
                                <w:color w:val="F5B335"/>
                                <w:sz w:val="72"/>
                              </w:rPr>
                              <w:t>Mathematical (STEM) Competence and Artistic disciplines</w:t>
                            </w:r>
                          </w:p>
                          <w:p w14:paraId="36052791" w14:textId="77777777" w:rsidR="00D41166"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423C5B" id="Rectangle 5" o:spid="_x0000_s1026" style="position:absolute;margin-left:152.35pt;margin-top:126.4pt;width:317pt;height:2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" filled="f" stroked="f">
                <v:textbox inset="2.53958mm,1.2694mm,2.53958mm,1.2694mm">
                  <w:txbxContent>
                    <w:p w14:paraId="2D01B839" w14:textId="77777777" w:rsidR="00D41166" w:rsidRDefault="00000000">
                      <w:pPr>
                        <w:spacing w:line="258" w:lineRule="auto"/>
                        <w:jc w:val="right"/>
                        <w:textDirection w:val="btLr"/>
                      </w:pPr>
                      <w:r>
                        <w:rPr>
                          <w:rFonts w:ascii="Bebas Neue" w:eastAsia="Bebas Neue" w:hAnsi="Bebas Neue" w:cs="Bebas Neue"/>
                          <w:color w:val="F5B335"/>
                          <w:sz w:val="72"/>
                        </w:rPr>
                        <w:t>Mathematical (STEM) Competence and Artistic disciplines</w:t>
                      </w:r>
                    </w:p>
                    <w:p w14:paraId="36052791" w14:textId="77777777" w:rsidR="00D41166"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34EE44DC" wp14:editId="0448154C">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395B04B7" w14:textId="77777777" w:rsidR="00D41166" w:rsidRDefault="00000000">
      <w:pPr>
        <w:pStyle w:val="Heading2"/>
        <w:tabs>
          <w:tab w:val="left" w:pos="5341"/>
        </w:tabs>
        <w:jc w:val="center"/>
        <w:rPr>
          <w:rFonts w:ascii="Bebas Neue" w:eastAsia="Bebas Neue" w:hAnsi="Bebas Neue" w:cs="Bebas Neue"/>
          <w:b/>
          <w:color w:val="F5B335"/>
          <w:sz w:val="48"/>
          <w:szCs w:val="48"/>
        </w:rPr>
      </w:pPr>
      <w:r>
        <w:rPr>
          <w:rFonts w:ascii="Bebas Neue" w:eastAsia="Bebas Neue" w:hAnsi="Bebas Neue" w:cs="Bebas Neue"/>
          <w:b/>
          <w:color w:val="F5B335"/>
          <w:sz w:val="48"/>
          <w:szCs w:val="48"/>
        </w:rPr>
        <w:lastRenderedPageBreak/>
        <w:t xml:space="preserve">Micro-learning resources to re-engage low-skilled adult learners in education and training </w:t>
      </w:r>
    </w:p>
    <w:p w14:paraId="73D0C269" w14:textId="77777777" w:rsidR="00D41166" w:rsidRDefault="00D41166"/>
    <w:p w14:paraId="2ABF1F7F" w14:textId="77777777" w:rsidR="00D41166"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01280D9A" w14:textId="77777777" w:rsidR="00D41166" w:rsidRDefault="00D41166"/>
    <w:p w14:paraId="789E84D7" w14:textId="77777777" w:rsidR="00D41166"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745B1946" w14:textId="77777777" w:rsidR="00D41166" w:rsidRDefault="00D41166">
      <w:pPr>
        <w:spacing w:line="360" w:lineRule="auto"/>
        <w:rPr>
          <w:rFonts w:ascii="Quattrocento Sans" w:eastAsia="Quattrocento Sans" w:hAnsi="Quattrocento Sans" w:cs="Quattrocento Sans"/>
          <w:color w:val="000000"/>
          <w:sz w:val="24"/>
          <w:szCs w:val="24"/>
        </w:rPr>
      </w:pPr>
    </w:p>
    <w:p w14:paraId="65E590D5" w14:textId="77777777" w:rsidR="00D41166" w:rsidRDefault="00000000">
      <w:pPr>
        <w:spacing w:line="360" w:lineRule="auto"/>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color w:val="000000"/>
          <w:sz w:val="24"/>
          <w:szCs w:val="24"/>
        </w:rPr>
        <w:t xml:space="preserve">Building Mathematical </w:t>
      </w:r>
      <w:r>
        <w:rPr>
          <w:rFonts w:ascii="Quattrocento Sans" w:eastAsia="Quattrocento Sans" w:hAnsi="Quattrocento Sans" w:cs="Quattrocento Sans"/>
          <w:i/>
          <w:sz w:val="24"/>
          <w:szCs w:val="24"/>
        </w:rPr>
        <w:t>Competencies</w:t>
      </w:r>
      <w:r>
        <w:rPr>
          <w:rFonts w:ascii="Quattrocento Sans" w:eastAsia="Quattrocento Sans" w:hAnsi="Quattrocento Sans" w:cs="Quattrocento Sans"/>
          <w:i/>
          <w:color w:val="000000"/>
          <w:sz w:val="24"/>
          <w:szCs w:val="24"/>
        </w:rPr>
        <w:t xml:space="preserve"> through Art</w:t>
      </w:r>
      <w:r>
        <w:rPr>
          <w:rFonts w:ascii="Quattrocento Sans" w:eastAsia="Quattrocento Sans" w:hAnsi="Quattrocento Sans" w:cs="Quattrocento Sans"/>
          <w:color w:val="000000"/>
          <w:sz w:val="24"/>
          <w:szCs w:val="24"/>
        </w:rPr>
        <w:t xml:space="preserve">.  </w:t>
      </w:r>
    </w:p>
    <w:p w14:paraId="32F225B4" w14:textId="77777777" w:rsidR="00D41166" w:rsidRDefault="00D41166">
      <w:pPr>
        <w:rPr>
          <w:rFonts w:ascii="Quattrocento Sans" w:eastAsia="Quattrocento Sans" w:hAnsi="Quattrocento Sans" w:cs="Quattrocento Sans"/>
          <w:i/>
          <w:color w:val="000000"/>
          <w:sz w:val="24"/>
          <w:szCs w:val="24"/>
        </w:rPr>
      </w:pPr>
    </w:p>
    <w:p w14:paraId="0E9D3A91" w14:textId="77777777" w:rsidR="00D4116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40DC8DCA" w14:textId="77777777" w:rsidR="00D41166"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Drawing, painting, taking pictures and above all being artistic can help low-skilled adults develop their mathematical, geometric and subsequently, STEM skills. Throughout the ONE-STEP UP resources, low-skilled adults can explore how these learning materials can positively impact their ability to work with numbers and calculations. So, whether they are practicing any kind of art or are just a “watcher” of artistic creation, they can be guided to discover how their favourite pictures, paintings or drawings can help them excel in maths and STEM. </w:t>
      </w:r>
    </w:p>
    <w:p w14:paraId="6838524D" w14:textId="77777777" w:rsidR="00D41166" w:rsidRDefault="00D41166">
      <w:pPr>
        <w:rPr>
          <w:rFonts w:ascii="Quattrocento Sans" w:eastAsia="Quattrocento Sans" w:hAnsi="Quattrocento Sans" w:cs="Quattrocento Sans"/>
          <w:sz w:val="24"/>
          <w:szCs w:val="24"/>
        </w:rPr>
      </w:pPr>
    </w:p>
    <w:p w14:paraId="53BA3E98" w14:textId="77777777" w:rsidR="00D4116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2B003944" w14:textId="77777777" w:rsidR="00D41166"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the Learner Handout, low-skilled adults have the opportunity to delve into the initiative done during “Mathematics Week” in </w:t>
      </w:r>
      <w:proofErr w:type="spellStart"/>
      <w:r>
        <w:rPr>
          <w:rFonts w:ascii="Quattrocento Sans" w:eastAsia="Quattrocento Sans" w:hAnsi="Quattrocento Sans" w:cs="Quattrocento Sans"/>
          <w:sz w:val="24"/>
          <w:szCs w:val="24"/>
        </w:rPr>
        <w:t>Finnistère</w:t>
      </w:r>
      <w:proofErr w:type="spellEnd"/>
      <w:r>
        <w:rPr>
          <w:rFonts w:ascii="Quattrocento Sans" w:eastAsia="Quattrocento Sans" w:hAnsi="Quattrocento Sans" w:cs="Quattrocento Sans"/>
          <w:sz w:val="24"/>
          <w:szCs w:val="24"/>
        </w:rPr>
        <w:t xml:space="preserve">, France in 2020. This initiative offered primary school students the opportunity to discover geometry and mathematics through arts-related activities. Moreover, learners have the possibility to engage in the fun and interactive “Draw a face” activity. They will discover how drawing can improve their ability to work with mathematical instruments and learn symmetry. With this, you can inspire learners to discover how even the most unlikely activities can lead to significant improvements in their mathematical and STEM skills. </w:t>
      </w:r>
    </w:p>
    <w:p w14:paraId="42A1BCB2" w14:textId="77777777" w:rsidR="00D41166" w:rsidRDefault="00D41166">
      <w:pPr>
        <w:spacing w:line="360" w:lineRule="auto"/>
        <w:jc w:val="both"/>
        <w:rPr>
          <w:rFonts w:ascii="Quattrocento Sans" w:eastAsia="Quattrocento Sans" w:hAnsi="Quattrocento Sans" w:cs="Quattrocento Sans"/>
          <w:sz w:val="24"/>
          <w:szCs w:val="24"/>
        </w:rPr>
      </w:pPr>
    </w:p>
    <w:p w14:paraId="51D0CE15" w14:textId="77777777" w:rsidR="00D41166"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527ED82A" w14:textId="77777777" w:rsidR="00D41166" w:rsidRDefault="00D41166">
      <w:pPr>
        <w:shd w:val="clear" w:color="auto" w:fill="FFFFFF"/>
        <w:spacing w:after="225" w:line="360" w:lineRule="auto"/>
        <w:jc w:val="both"/>
        <w:rPr>
          <w:rFonts w:ascii="Quattrocento Sans" w:eastAsia="Quattrocento Sans" w:hAnsi="Quattrocento Sans" w:cs="Quattrocento Sans"/>
          <w:sz w:val="24"/>
          <w:szCs w:val="24"/>
        </w:rPr>
      </w:pPr>
      <w:bookmarkStart w:id="0" w:name="_heading=h.hsm8d7yq79vf" w:colFirst="0" w:colLast="0"/>
      <w:bookmarkEnd w:id="0"/>
    </w:p>
    <w:p w14:paraId="6737A99C" w14:textId="77777777" w:rsidR="00D41166"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bookmarkStart w:id="1" w:name="_heading=h.gjdgxs" w:colFirst="0" w:colLast="0"/>
      <w:bookmarkEnd w:id="1"/>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color w:val="000000"/>
          <w:sz w:val="24"/>
          <w:szCs w:val="24"/>
        </w:rPr>
        <w:t>Artistic disciplines (Mathematical (STEM) Competence).</w:t>
      </w:r>
      <w:r>
        <w:rPr>
          <w:rFonts w:ascii="Quattrocento Sans" w:eastAsia="Quattrocento Sans" w:hAnsi="Quattrocento Sans" w:cs="Quattrocento Sans"/>
          <w:color w:val="000000"/>
          <w:sz w:val="24"/>
          <w:szCs w:val="24"/>
        </w:rPr>
        <w:t xml:space="preserve"> 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5D72A428" w14:textId="77777777" w:rsidR="00D41166" w:rsidRDefault="00D41166">
      <w:pPr>
        <w:shd w:val="clear" w:color="auto" w:fill="FFFFFF"/>
        <w:spacing w:after="225" w:line="360" w:lineRule="auto"/>
        <w:jc w:val="both"/>
        <w:rPr>
          <w:rFonts w:ascii="Quattrocento Sans" w:eastAsia="Quattrocento Sans" w:hAnsi="Quattrocento Sans" w:cs="Quattrocento Sans"/>
          <w:color w:val="000000"/>
          <w:sz w:val="24"/>
          <w:szCs w:val="24"/>
        </w:rPr>
      </w:pPr>
    </w:p>
    <w:p w14:paraId="12106E3F" w14:textId="77777777" w:rsidR="00D41166" w:rsidRDefault="00000000">
      <w:pPr>
        <w:pStyle w:val="Heading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1B6226F4" w14:textId="77777777" w:rsidR="00D41166"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Here are some potential debriefing questions for participants to reflect on after completing the case study and activity: </w:t>
      </w:r>
    </w:p>
    <w:p w14:paraId="1F7D1DBC" w14:textId="77777777" w:rsidR="00D41166" w:rsidRDefault="00000000">
      <w:pPr>
        <w:numPr>
          <w:ilvl w:val="0"/>
          <w:numId w:val="2"/>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surprises you the most about the Mathematical Week 2020 initiative in </w:t>
      </w:r>
      <w:proofErr w:type="spellStart"/>
      <w:r>
        <w:rPr>
          <w:rFonts w:ascii="Quattrocento Sans" w:eastAsia="Quattrocento Sans" w:hAnsi="Quattrocento Sans" w:cs="Quattrocento Sans"/>
          <w:color w:val="000000"/>
          <w:sz w:val="24"/>
          <w:szCs w:val="24"/>
        </w:rPr>
        <w:t>Finnistère</w:t>
      </w:r>
      <w:proofErr w:type="spellEnd"/>
      <w:r>
        <w:rPr>
          <w:rFonts w:ascii="Quattrocento Sans" w:eastAsia="Quattrocento Sans" w:hAnsi="Quattrocento Sans" w:cs="Quattrocento Sans"/>
          <w:color w:val="000000"/>
          <w:sz w:val="24"/>
          <w:szCs w:val="24"/>
        </w:rPr>
        <w:t xml:space="preserve">? </w:t>
      </w:r>
    </w:p>
    <w:p w14:paraId="1DEA6687" w14:textId="77777777" w:rsidR="00D41166"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In what ways did this initiative/program go beyond just teaching math and STEM skills? </w:t>
      </w:r>
    </w:p>
    <w:p w14:paraId="446C097B" w14:textId="77777777" w:rsidR="00D41166"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is one key takeaway that you will bring with you from this case study and activity? How will you apply it to your own life or work?</w:t>
      </w:r>
    </w:p>
    <w:p w14:paraId="7FB4959C" w14:textId="77777777" w:rsidR="00D41166"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was your experience like during the “Draw a face” activity? Did you find it helpful in improving your mathematical and geometric competencies? </w:t>
      </w:r>
    </w:p>
    <w:p w14:paraId="4DDC9162" w14:textId="77777777" w:rsidR="00D41166" w:rsidRDefault="00000000">
      <w:pPr>
        <w:numPr>
          <w:ilvl w:val="0"/>
          <w:numId w:val="1"/>
        </w:numPr>
        <w:pBdr>
          <w:top w:val="nil"/>
          <w:left w:val="nil"/>
          <w:bottom w:val="nil"/>
          <w:right w:val="nil"/>
          <w:between w:val="nil"/>
        </w:pBd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lastRenderedPageBreak/>
        <w:t xml:space="preserve">How can </w:t>
      </w:r>
      <w:r>
        <w:rPr>
          <w:rFonts w:ascii="Quattrocento Sans" w:eastAsia="Quattrocento Sans" w:hAnsi="Quattrocento Sans" w:cs="Quattrocento Sans"/>
          <w:sz w:val="24"/>
          <w:szCs w:val="24"/>
        </w:rPr>
        <w:t>a</w:t>
      </w:r>
      <w:r>
        <w:rPr>
          <w:rFonts w:ascii="Quattrocento Sans" w:eastAsia="Quattrocento Sans" w:hAnsi="Quattrocento Sans" w:cs="Quattrocento Sans"/>
          <w:color w:val="000000"/>
          <w:sz w:val="24"/>
          <w:szCs w:val="24"/>
        </w:rPr>
        <w:t xml:space="preserve">rt be incorporated into education or training programs for low-skilled adults to improve their math and STEM skills? </w:t>
      </w:r>
    </w:p>
    <w:p w14:paraId="21C2456E" w14:textId="77777777" w:rsidR="00D41166"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7FD59CFA" wp14:editId="40F4280B">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D41166">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60D7" w14:textId="77777777" w:rsidR="003B24EE" w:rsidRDefault="003B24EE">
      <w:pPr>
        <w:spacing w:after="0" w:line="240" w:lineRule="auto"/>
      </w:pPr>
      <w:r>
        <w:separator/>
      </w:r>
    </w:p>
  </w:endnote>
  <w:endnote w:type="continuationSeparator" w:id="0">
    <w:p w14:paraId="5287B65B" w14:textId="77777777" w:rsidR="003B24EE" w:rsidRDefault="003B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B5F6" w14:textId="77777777" w:rsidR="00D41166" w:rsidRDefault="00D4116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94B6" w14:textId="77777777" w:rsidR="003B24EE" w:rsidRDefault="003B24EE">
      <w:pPr>
        <w:spacing w:after="0" w:line="240" w:lineRule="auto"/>
      </w:pPr>
      <w:r>
        <w:separator/>
      </w:r>
    </w:p>
  </w:footnote>
  <w:footnote w:type="continuationSeparator" w:id="0">
    <w:p w14:paraId="67B9864A" w14:textId="77777777" w:rsidR="003B24EE" w:rsidRDefault="003B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881" w14:textId="77777777" w:rsidR="00D41166" w:rsidRDefault="00D4116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C628D"/>
    <w:multiLevelType w:val="multilevel"/>
    <w:tmpl w:val="07BC0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FA7AE7"/>
    <w:multiLevelType w:val="multilevel"/>
    <w:tmpl w:val="A1326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3314506">
    <w:abstractNumId w:val="1"/>
  </w:num>
  <w:num w:numId="2" w16cid:durableId="197004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66"/>
    <w:rsid w:val="003B24EE"/>
    <w:rsid w:val="00D41166"/>
    <w:rsid w:val="00FA2ED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618D"/>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Rw3XLyMVu50mwMwUJGqAD7TSw==">CgMxLjAyDmguaHNtOGQ3eXE3OXZmMghoLmdqZGd4czgAciExcWF5MjFDaThHQl93bGh0cHFBYV8xYnUxem5tT0VmdWE=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3314</Characters>
  <Application>Microsoft Office Word</Application>
  <DocSecurity>0</DocSecurity>
  <Lines>27</Lines>
  <Paragraphs>7</Paragraphs>
  <ScaleCrop>false</ScaleCrop>
  <Company>HP Inc.</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2024-03-14T13:54:00Z</cp:lastPrinted>
  <dcterms:created xsi:type="dcterms:W3CDTF">2023-02-14T11:52:00Z</dcterms:created>
  <dcterms:modified xsi:type="dcterms:W3CDTF">2024-03-14T13:54:00Z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