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AF127" w14:textId="1999135E" w:rsidR="003937AC" w:rsidRDefault="006C0835">
      <w:pPr>
        <w:tabs>
          <w:tab w:val="left" w:pos="900"/>
        </w:tabs>
      </w:pPr>
      <w:r>
        <w:rPr>
          <w:noProof/>
        </w:rPr>
        <mc:AlternateContent>
          <mc:Choice Requires="wps">
            <w:drawing>
              <wp:anchor distT="45720" distB="45720" distL="114300" distR="114300" simplePos="0" relativeHeight="251659264" behindDoc="0" locked="0" layoutInCell="1" hidden="0" allowOverlap="1" wp14:anchorId="183BCB28" wp14:editId="468D6B72">
                <wp:simplePos x="0" y="0"/>
                <wp:positionH relativeFrom="column">
                  <wp:posOffset>1934845</wp:posOffset>
                </wp:positionH>
                <wp:positionV relativeFrom="paragraph">
                  <wp:posOffset>1605280</wp:posOffset>
                </wp:positionV>
                <wp:extent cx="4025900" cy="227520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4025900" cy="2275205"/>
                        </a:xfrm>
                        <a:prstGeom prst="rect">
                          <a:avLst/>
                        </a:prstGeom>
                        <a:noFill/>
                        <a:ln>
                          <a:noFill/>
                        </a:ln>
                      </wps:spPr>
                      <wps:txbx>
                        <w:txbxContent>
                          <w:p w14:paraId="187721B2" w14:textId="77777777" w:rsidR="003937AC" w:rsidRDefault="00000000">
                            <w:pPr>
                              <w:spacing w:line="258" w:lineRule="auto"/>
                              <w:jc w:val="right"/>
                              <w:textDirection w:val="btLr"/>
                            </w:pPr>
                            <w:r>
                              <w:rPr>
                                <w:rFonts w:ascii="Bebas Neue" w:eastAsia="Bebas Neue" w:hAnsi="Bebas Neue" w:cs="Bebas Neue"/>
                                <w:color w:val="F5B335"/>
                                <w:sz w:val="72"/>
                              </w:rPr>
                              <w:t>&lt;Competence area and transversal theme&gt;</w:t>
                            </w:r>
                          </w:p>
                          <w:p w14:paraId="2D5462E9" w14:textId="77777777" w:rsidR="003937AC"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83BCB28" id="Rectangle 5" o:spid="_x0000_s1026" style="position:absolute;margin-left:152.35pt;margin-top:126.4pt;width:317pt;height:17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" filled="f" stroked="f">
                <v:textbox inset="2.53958mm,1.2694mm,2.53958mm,1.2694mm">
                  <w:txbxContent>
                    <w:p w14:paraId="187721B2" w14:textId="77777777" w:rsidR="003937AC" w:rsidRDefault="00000000">
                      <w:pPr>
                        <w:spacing w:line="258" w:lineRule="auto"/>
                        <w:jc w:val="right"/>
                        <w:textDirection w:val="btLr"/>
                      </w:pPr>
                      <w:r>
                        <w:rPr>
                          <w:rFonts w:ascii="Bebas Neue" w:eastAsia="Bebas Neue" w:hAnsi="Bebas Neue" w:cs="Bebas Neue"/>
                          <w:color w:val="F5B335"/>
                          <w:sz w:val="72"/>
                        </w:rPr>
                        <w:t>&lt;Competence area and transversal theme&gt;</w:t>
                      </w:r>
                    </w:p>
                    <w:p w14:paraId="2D5462E9" w14:textId="77777777" w:rsidR="003937AC"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797A0A66" wp14:editId="13673A8C">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14:paraId="6D3230FE" w14:textId="77777777" w:rsidR="003937AC" w:rsidRDefault="00000000">
      <w:pPr>
        <w:pStyle w:val="Heading2"/>
        <w:tabs>
          <w:tab w:val="left" w:pos="5341"/>
        </w:tabs>
        <w:jc w:val="center"/>
        <w:rPr>
          <w:rFonts w:ascii="Bebas Neue" w:eastAsia="Bebas Neue" w:hAnsi="Bebas Neue" w:cs="Bebas Neue"/>
          <w:color w:val="F5B335"/>
          <w:sz w:val="48"/>
          <w:szCs w:val="48"/>
        </w:rPr>
      </w:pPr>
      <w:r>
        <w:rPr>
          <w:rFonts w:ascii="Bebas Neue" w:eastAsia="Bebas Neue" w:hAnsi="Bebas Neue" w:cs="Bebas Neue"/>
          <w:color w:val="F5B335"/>
          <w:sz w:val="48"/>
          <w:szCs w:val="48"/>
        </w:rPr>
        <w:lastRenderedPageBreak/>
        <w:t xml:space="preserve">Micro-learning resources to re-engage low-skilled adult learners in education and training </w:t>
      </w:r>
    </w:p>
    <w:p w14:paraId="398E7995" w14:textId="77777777" w:rsidR="003937AC" w:rsidRDefault="00000000">
      <w:pPr>
        <w:pStyle w:val="Heading2"/>
        <w:tabs>
          <w:tab w:val="left" w:pos="5341"/>
        </w:tabs>
        <w:rPr>
          <w:rFonts w:ascii="Quattrocento Sans" w:eastAsia="Quattrocento Sans" w:hAnsi="Quattrocento Sans" w:cs="Quattrocento Sans"/>
          <w:b/>
          <w:color w:val="1F2126"/>
          <w:sz w:val="36"/>
          <w:szCs w:val="36"/>
        </w:rPr>
      </w:pPr>
      <w:r>
        <w:rPr>
          <w:rFonts w:ascii="Quattrocento Sans" w:eastAsia="Quattrocento Sans" w:hAnsi="Quattrocento Sans" w:cs="Quattrocento Sans"/>
          <w:b/>
          <w:color w:val="1F2126"/>
          <w:sz w:val="36"/>
          <w:szCs w:val="36"/>
        </w:rPr>
        <w:t xml:space="preserve">Adult Educator Manual </w:t>
      </w:r>
    </w:p>
    <w:p w14:paraId="29DB25F7" w14:textId="77777777" w:rsidR="003937AC" w:rsidRDefault="00000000">
      <w:pP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Lesson Plan</w:t>
      </w:r>
    </w:p>
    <w:p w14:paraId="574C5097" w14:textId="77777777" w:rsidR="003937AC" w:rsidRDefault="00000000">
      <w:pPr>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resources aims to further develop their understanding of the topic outlined in the video resource. Finally, this manual will also present you with some de-briefing questions that you can use in your group of adult learners, to assess the user-friendliness and quality of the activity you have completed with them. </w:t>
      </w:r>
    </w:p>
    <w:p w14:paraId="25BCA539" w14:textId="77777777" w:rsidR="003937AC" w:rsidRDefault="003937AC">
      <w:pPr>
        <w:rPr>
          <w:rFonts w:ascii="Quattrocento Sans" w:eastAsia="Quattrocento Sans" w:hAnsi="Quattrocento Sans" w:cs="Quattrocento Sans"/>
          <w:color w:val="000000"/>
          <w:sz w:val="24"/>
          <w:szCs w:val="24"/>
        </w:rPr>
      </w:pPr>
    </w:p>
    <w:p w14:paraId="511B328E" w14:textId="77777777" w:rsidR="003937AC" w:rsidRDefault="00000000">
      <w:pPr>
        <w:rPr>
          <w:rFonts w:ascii="Quattrocento Sans" w:eastAsia="Quattrocento Sans" w:hAnsi="Quattrocento Sans" w:cs="Quattrocento Sans"/>
          <w:i/>
          <w:color w:val="000000"/>
          <w:sz w:val="24"/>
          <w:szCs w:val="24"/>
        </w:rPr>
      </w:pPr>
      <w:r>
        <w:rPr>
          <w:rFonts w:ascii="Quattrocento Sans" w:eastAsia="Quattrocento Sans" w:hAnsi="Quattrocento Sans" w:cs="Quattrocento Sans"/>
          <w:color w:val="000000"/>
          <w:sz w:val="24"/>
          <w:szCs w:val="24"/>
        </w:rPr>
        <w:t xml:space="preserve">The topic of this manual relates to the video resources </w:t>
      </w:r>
      <w:r>
        <w:rPr>
          <w:rFonts w:ascii="Quattrocento Sans" w:eastAsia="Quattrocento Sans" w:hAnsi="Quattrocento Sans" w:cs="Quattrocento Sans"/>
          <w:i/>
          <w:sz w:val="24"/>
          <w:szCs w:val="24"/>
        </w:rPr>
        <w:t xml:space="preserve">Personal, Social, and L2L Competence Through Digital and </w:t>
      </w:r>
      <w:proofErr w:type="gramStart"/>
      <w:r>
        <w:rPr>
          <w:rFonts w:ascii="Quattrocento Sans" w:eastAsia="Quattrocento Sans" w:hAnsi="Quattrocento Sans" w:cs="Quattrocento Sans"/>
          <w:i/>
          <w:sz w:val="24"/>
          <w:szCs w:val="24"/>
        </w:rPr>
        <w:t>Social Media</w:t>
      </w:r>
      <w:proofErr w:type="gramEnd"/>
      <w:r>
        <w:rPr>
          <w:rFonts w:ascii="Quattrocento Sans" w:eastAsia="Quattrocento Sans" w:hAnsi="Quattrocento Sans" w:cs="Quattrocento Sans"/>
          <w:i/>
          <w:sz w:val="24"/>
          <w:szCs w:val="24"/>
        </w:rPr>
        <w:t>.</w:t>
      </w:r>
    </w:p>
    <w:p w14:paraId="1B6F49EE" w14:textId="77777777" w:rsidR="003937AC" w:rsidRDefault="003937AC">
      <w:pPr>
        <w:rPr>
          <w:rFonts w:ascii="Quattrocento Sans" w:eastAsia="Quattrocento Sans" w:hAnsi="Quattrocento Sans" w:cs="Quattrocento Sans"/>
          <w:i/>
          <w:color w:val="000000"/>
          <w:sz w:val="24"/>
          <w:szCs w:val="24"/>
        </w:rPr>
      </w:pPr>
    </w:p>
    <w:p w14:paraId="1773E8DC" w14:textId="77777777" w:rsidR="003937AC" w:rsidRDefault="003937AC">
      <w:pPr>
        <w:rPr>
          <w:rFonts w:ascii="Quattrocento Sans" w:eastAsia="Quattrocento Sans" w:hAnsi="Quattrocento Sans" w:cs="Quattrocento Sans"/>
          <w:i/>
          <w:color w:val="000000"/>
          <w:sz w:val="24"/>
          <w:szCs w:val="24"/>
        </w:rPr>
      </w:pPr>
    </w:p>
    <w:p w14:paraId="54B8F8A4" w14:textId="77777777" w:rsidR="003937AC"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Topic </w:t>
      </w:r>
    </w:p>
    <w:p w14:paraId="572798AC" w14:textId="77777777" w:rsidR="003937AC" w:rsidRDefault="003937AC">
      <w:pPr>
        <w:rPr>
          <w:rFonts w:ascii="Quattrocento Sans" w:eastAsia="Quattrocento Sans" w:hAnsi="Quattrocento Sans" w:cs="Quattrocento Sans"/>
          <w:sz w:val="24"/>
          <w:szCs w:val="24"/>
          <w:highlight w:val="yellow"/>
        </w:rPr>
      </w:pPr>
    </w:p>
    <w:p w14:paraId="2518EA4F" w14:textId="77777777" w:rsidR="003937AC" w:rsidRDefault="00000000">
      <w:pP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 the digital era, harnessing the power of online platforms for personal, social, and learning-to-learn (L2L) competence development offers transformative opportunities, especially for low-skilled adults. Leveraging digital and social media resources, individuals can access a wide range of educational content, interactive tools, and virtual communities to improve emotional intelligence, communication, and adaptability. For low-skilled adults facing barriers to traditional learning avenues, this self-directed approach fosters empowerment, boosting confidence, and nurturing essential skills essential for career advancement and personal growth. </w:t>
      </w:r>
    </w:p>
    <w:p w14:paraId="47E19AC9" w14:textId="77777777" w:rsidR="003937AC" w:rsidRDefault="003937AC">
      <w:pPr>
        <w:rPr>
          <w:rFonts w:ascii="Quattrocento Sans" w:eastAsia="Quattrocento Sans" w:hAnsi="Quattrocento Sans" w:cs="Quattrocento Sans"/>
          <w:sz w:val="24"/>
          <w:szCs w:val="24"/>
        </w:rPr>
      </w:pPr>
    </w:p>
    <w:p w14:paraId="34FBF2CD" w14:textId="77777777" w:rsidR="003937AC"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Activity </w:t>
      </w:r>
    </w:p>
    <w:p w14:paraId="409E7DE3" w14:textId="77777777" w:rsidR="003937AC" w:rsidRDefault="003937AC">
      <w:pPr>
        <w:rPr>
          <w:rFonts w:ascii="Quattrocento Sans" w:eastAsia="Quattrocento Sans" w:hAnsi="Quattrocento Sans" w:cs="Quattrocento Sans"/>
          <w:sz w:val="24"/>
          <w:szCs w:val="24"/>
        </w:rPr>
      </w:pPr>
    </w:p>
    <w:p w14:paraId="1B503805" w14:textId="77777777" w:rsidR="003937AC" w:rsidRDefault="00000000">
      <w:pPr>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Using the case study of the Holistic Psychologist, learners are introduced to microlearning content, e.g. bite-sized content that delivers complex psychological topics in a very simple and effective way. It’s an example of good practice because engaging with Nicole LePera's content can be a valuable self-directed activity for adults seeking personal development and mental health insights. Learners also have a chance to try out </w:t>
      </w:r>
      <w:r>
        <w:rPr>
          <w:rFonts w:ascii="Quattrocento Sans" w:eastAsia="Quattrocento Sans" w:hAnsi="Quattrocento Sans" w:cs="Quattrocento Sans"/>
          <w:sz w:val="24"/>
          <w:szCs w:val="24"/>
        </w:rPr>
        <w:lastRenderedPageBreak/>
        <w:t>the “Improving Your Digital Time Management” with the aim of empowering them to enhance their time management skills through online resources and digital tools. This will demonstrate how practicing one aspect of personal, social and learning to learn competence such as time management skills, can be useful and fun in combination with working on their own digital skills.</w:t>
      </w:r>
    </w:p>
    <w:p w14:paraId="6F81E763" w14:textId="77777777" w:rsidR="003937AC" w:rsidRDefault="003937AC">
      <w:pPr>
        <w:rPr>
          <w:rFonts w:ascii="Quattrocento Sans" w:eastAsia="Quattrocento Sans" w:hAnsi="Quattrocento Sans" w:cs="Quattrocento Sans"/>
          <w:sz w:val="24"/>
          <w:szCs w:val="24"/>
        </w:rPr>
      </w:pPr>
    </w:p>
    <w:p w14:paraId="6596BD6B" w14:textId="77777777" w:rsidR="003937AC"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Using this Resource with a Group </w:t>
      </w:r>
    </w:p>
    <w:p w14:paraId="62EDA6D5" w14:textId="77777777" w:rsidR="003937AC" w:rsidRDefault="00000000">
      <w:pPr>
        <w:shd w:val="clear" w:color="auto" w:fill="FFFFFF"/>
        <w:spacing w:after="225"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To use this resource with adult learners in your local group, we recommend that you begin by showing them the video resource to introduce the theme of </w:t>
      </w:r>
      <w:r>
        <w:rPr>
          <w:rFonts w:ascii="Quattrocento Sans" w:eastAsia="Quattrocento Sans" w:hAnsi="Quattrocento Sans" w:cs="Quattrocento Sans"/>
          <w:i/>
          <w:sz w:val="24"/>
          <w:szCs w:val="24"/>
        </w:rPr>
        <w:t xml:space="preserve">Personal, Social, and Learning to Learn Competence Through Digital and </w:t>
      </w:r>
      <w:proofErr w:type="gramStart"/>
      <w:r>
        <w:rPr>
          <w:rFonts w:ascii="Quattrocento Sans" w:eastAsia="Quattrocento Sans" w:hAnsi="Quattrocento Sans" w:cs="Quattrocento Sans"/>
          <w:i/>
          <w:sz w:val="24"/>
          <w:szCs w:val="24"/>
        </w:rPr>
        <w:t>Social Media</w:t>
      </w:r>
      <w:proofErr w:type="gramEnd"/>
      <w:r>
        <w:rPr>
          <w:rFonts w:ascii="Quattrocento Sans" w:eastAsia="Quattrocento Sans" w:hAnsi="Quattrocento Sans" w:cs="Quattrocento Sans"/>
          <w:i/>
          <w:sz w:val="24"/>
          <w:szCs w:val="24"/>
        </w:rPr>
        <w:t>.</w:t>
      </w:r>
      <w:r>
        <w:rPr>
          <w:rFonts w:ascii="Quattrocento Sans" w:eastAsia="Quattrocento Sans" w:hAnsi="Quattrocento Sans" w:cs="Quattrocento Sans"/>
          <w:i/>
          <w:color w:val="000000"/>
          <w:sz w:val="24"/>
          <w:szCs w:val="24"/>
        </w:rPr>
        <w:t xml:space="preserve"> </w:t>
      </w:r>
      <w:r>
        <w:rPr>
          <w:rFonts w:ascii="Quattrocento Sans" w:eastAsia="Quattrocento Sans" w:hAnsi="Quattrocento Sans" w:cs="Quattrocento Sans"/>
          <w:color w:val="000000"/>
          <w:sz w:val="24"/>
          <w:szCs w:val="24"/>
        </w:rPr>
        <w:t>This video will help learners to understand the topic before they begin the Learner Handout activity.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w:t>
      </w:r>
    </w:p>
    <w:p w14:paraId="522627F9" w14:textId="77777777" w:rsidR="003937AC"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De-Briefing Questions</w:t>
      </w:r>
    </w:p>
    <w:p w14:paraId="1CD85932" w14:textId="77777777" w:rsidR="003937AC" w:rsidRDefault="003937AC"/>
    <w:p w14:paraId="32E28F8F" w14:textId="77777777" w:rsidR="003937AC" w:rsidRDefault="00000000">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 xml:space="preserve">What do you think is the key to the success of the Holistic </w:t>
      </w:r>
      <w:proofErr w:type="spellStart"/>
      <w:r>
        <w:rPr>
          <w:rFonts w:ascii="Quattrocento Sans" w:eastAsia="Quattrocento Sans" w:hAnsi="Quattrocento Sans" w:cs="Quattrocento Sans"/>
          <w:sz w:val="24"/>
          <w:szCs w:val="24"/>
        </w:rPr>
        <w:t>Psychologists’s</w:t>
      </w:r>
      <w:proofErr w:type="spellEnd"/>
      <w:r>
        <w:rPr>
          <w:rFonts w:ascii="Quattrocento Sans" w:eastAsia="Quattrocento Sans" w:hAnsi="Quattrocento Sans" w:cs="Quattrocento Sans"/>
          <w:sz w:val="24"/>
          <w:szCs w:val="24"/>
        </w:rPr>
        <w:t xml:space="preserve"> work?</w:t>
      </w:r>
    </w:p>
    <w:p w14:paraId="38AA23DC" w14:textId="77777777" w:rsidR="003937AC" w:rsidRDefault="00000000">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What is one key takeaway that you will bring from this case study and activity? How will you apply it to your own life or work?</w:t>
      </w:r>
    </w:p>
    <w:p w14:paraId="722E90A0" w14:textId="77777777" w:rsidR="003937AC" w:rsidRDefault="00000000">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How did you find "Improving Your Digital Time Management”? Did you find it helpful in improving your interpersonal skills?</w:t>
      </w:r>
    </w:p>
    <w:p w14:paraId="7F6F44EE" w14:textId="77777777" w:rsidR="003937AC" w:rsidRDefault="00000000">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How do you think the use of digital and social media can be incorporated into improving your personal, social and learning-to-learn competences?</w:t>
      </w:r>
    </w:p>
    <w:p w14:paraId="6AB45392" w14:textId="77777777" w:rsidR="003937AC" w:rsidRDefault="003937AC"/>
    <w:p w14:paraId="22F704A6" w14:textId="77777777" w:rsidR="003937AC" w:rsidRDefault="00000000">
      <w:pPr>
        <w:jc w:val="cente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5959FCC9" wp14:editId="6C437F16">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7"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3937AC">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6E431" w14:textId="77777777" w:rsidR="00955711" w:rsidRDefault="00955711">
      <w:pPr>
        <w:spacing w:after="0" w:line="240" w:lineRule="auto"/>
      </w:pPr>
      <w:r>
        <w:separator/>
      </w:r>
    </w:p>
  </w:endnote>
  <w:endnote w:type="continuationSeparator" w:id="0">
    <w:p w14:paraId="52240065" w14:textId="77777777" w:rsidR="00955711" w:rsidRDefault="00955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E6C7" w14:textId="77777777" w:rsidR="003937AC" w:rsidRDefault="003937AC">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C640" w14:textId="77777777" w:rsidR="00955711" w:rsidRDefault="00955711">
      <w:pPr>
        <w:spacing w:after="0" w:line="240" w:lineRule="auto"/>
      </w:pPr>
      <w:r>
        <w:separator/>
      </w:r>
    </w:p>
  </w:footnote>
  <w:footnote w:type="continuationSeparator" w:id="0">
    <w:p w14:paraId="6942FAED" w14:textId="77777777" w:rsidR="00955711" w:rsidRDefault="00955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26E8" w14:textId="77777777" w:rsidR="003937AC" w:rsidRDefault="003937A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244CD"/>
    <w:multiLevelType w:val="multilevel"/>
    <w:tmpl w:val="40AC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0992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7AC"/>
    <w:rsid w:val="003937AC"/>
    <w:rsid w:val="006C0835"/>
    <w:rsid w:val="00955711"/>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9C81"/>
  <w15:docId w15:val="{17A0098A-D134-4AF9-8FFF-DAF8FBAF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R3GeIHu2/QWG+XHC/WZq+h7S7A==">CgMxLjA4AHIhMVNpVEpPVWx3bVAwRnZ2clJ1cjNGLTJTdExzQ3BkVjJU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591</Words>
  <Characters>3371</Characters>
  <Application>Microsoft Office Word</Application>
  <DocSecurity>0</DocSecurity>
  <Lines>28</Lines>
  <Paragraphs>7</Paragraphs>
  <ScaleCrop>false</ScaleCrop>
  <Company>HP Inc.</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cp:lastPrinted>2024-03-14T13:46:00Z</cp:lastPrinted>
  <dcterms:created xsi:type="dcterms:W3CDTF">2023-02-14T11:52:00Z</dcterms:created>
  <dcterms:modified xsi:type="dcterms:W3CDTF">2024-03-14T13:46:00Z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