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4B4D" w14:textId="432A008C" w:rsidR="00B12BCA" w:rsidRDefault="002B5827">
      <w:pPr>
        <w:tabs>
          <w:tab w:val="left" w:pos="900"/>
        </w:tabs>
      </w:pPr>
      <w:r>
        <w:rPr>
          <w:noProof/>
        </w:rPr>
        <mc:AlternateContent>
          <mc:Choice Requires="wps">
            <w:drawing>
              <wp:anchor distT="45720" distB="45720" distL="114300" distR="114300" simplePos="0" relativeHeight="251659264" behindDoc="0" locked="0" layoutInCell="1" hidden="0" allowOverlap="1" wp14:anchorId="084CF6F5" wp14:editId="423161AE">
                <wp:simplePos x="0" y="0"/>
                <wp:positionH relativeFrom="column">
                  <wp:posOffset>1934845</wp:posOffset>
                </wp:positionH>
                <wp:positionV relativeFrom="paragraph">
                  <wp:posOffset>1605280</wp:posOffset>
                </wp:positionV>
                <wp:extent cx="4124960" cy="21367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124960" cy="2136775"/>
                        </a:xfrm>
                        <a:prstGeom prst="rect">
                          <a:avLst/>
                        </a:prstGeom>
                        <a:noFill/>
                        <a:ln>
                          <a:noFill/>
                        </a:ln>
                      </wps:spPr>
                      <wps:txbx>
                        <w:txbxContent>
                          <w:p w14:paraId="0FECD1F9" w14:textId="77777777" w:rsidR="00B12BCA" w:rsidRDefault="00000000">
                            <w:pPr>
                              <w:spacing w:line="258" w:lineRule="auto"/>
                              <w:jc w:val="right"/>
                              <w:textDirection w:val="btLr"/>
                            </w:pPr>
                            <w:r>
                              <w:rPr>
                                <w:rFonts w:ascii="Bebas Neue" w:eastAsia="Bebas Neue" w:hAnsi="Bebas Neue" w:cs="Bebas Neue"/>
                                <w:color w:val="F5B335"/>
                                <w:sz w:val="72"/>
                              </w:rPr>
                              <w:t>&lt;Competence area and transversal theme&gt;</w:t>
                            </w:r>
                          </w:p>
                          <w:p w14:paraId="0B4005FE" w14:textId="77777777" w:rsidR="00B12BCA"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CF6F5" id="Rectangle 5" o:spid="_x0000_s1026" style="position:absolute;margin-left:152.35pt;margin-top:126.4pt;width:324.8pt;height:1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" filled="f" stroked="f">
                <v:textbox inset="2.53958mm,1.2694mm,2.53958mm,1.2694mm">
                  <w:txbxContent>
                    <w:p w14:paraId="0FECD1F9" w14:textId="77777777" w:rsidR="00B12BCA" w:rsidRDefault="00000000">
                      <w:pPr>
                        <w:spacing w:line="258" w:lineRule="auto"/>
                        <w:jc w:val="right"/>
                        <w:textDirection w:val="btLr"/>
                      </w:pPr>
                      <w:r>
                        <w:rPr>
                          <w:rFonts w:ascii="Bebas Neue" w:eastAsia="Bebas Neue" w:hAnsi="Bebas Neue" w:cs="Bebas Neue"/>
                          <w:color w:val="F5B335"/>
                          <w:sz w:val="72"/>
                        </w:rPr>
                        <w:t>&lt;Competence area and transversal theme&gt;</w:t>
                      </w:r>
                    </w:p>
                    <w:p w14:paraId="0B4005FE" w14:textId="77777777" w:rsidR="00B12BCA"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244A2510" wp14:editId="4ECC0ECD">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2DC0B206" w14:textId="77777777" w:rsidR="00B12BCA"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547A5D21" w14:textId="77777777" w:rsidR="00B12BCA"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7553A9BB" w14:textId="77777777" w:rsidR="00B12BCA"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25A3569C" w14:textId="77777777" w:rsidR="00B12BCA" w:rsidRDefault="00000000">
      <w:pP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063E52E7" w14:textId="77777777" w:rsidR="00B12BCA" w:rsidRDefault="00000000">
      <w:pPr>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sz w:val="24"/>
          <w:szCs w:val="24"/>
        </w:rPr>
        <w:t>Multilingual Competence Through Art.</w:t>
      </w:r>
    </w:p>
    <w:p w14:paraId="1FFF0C30" w14:textId="77777777" w:rsidR="00B12BCA" w:rsidRDefault="00B12BCA">
      <w:pPr>
        <w:rPr>
          <w:rFonts w:ascii="Quattrocento Sans" w:eastAsia="Quattrocento Sans" w:hAnsi="Quattrocento Sans" w:cs="Quattrocento Sans"/>
          <w:i/>
          <w:color w:val="000000"/>
          <w:sz w:val="24"/>
          <w:szCs w:val="24"/>
        </w:rPr>
      </w:pPr>
    </w:p>
    <w:p w14:paraId="16833D9F" w14:textId="77777777" w:rsidR="00B12BC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43DFA85F" w14:textId="77777777" w:rsidR="00B12BCA"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Learning a second language can be a challenging experience for most adults, particularly because adults tend to be intimidated by trying new things, afraid of looking ridiculous and making errors. And a great part of language learning is to experiment and make mistakes! But we can change their focus on performance to something more creative that will facilitate their participation and eliminate a certain degree of self-judgment.</w:t>
      </w:r>
    </w:p>
    <w:p w14:paraId="764B1369" w14:textId="77777777" w:rsidR="00B12BCA"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Language and art are complementary disciplines and can benefit low-skilled adults in a number of ways. Integrating art into language learning can enhance language acquisition, creativity, and engagement. On the other hand, integrating language skills into art can facilitate new dimensions of expression and communication. In this resource, low-skilled adults can explore how art can positively impact their language skills. </w:t>
      </w:r>
    </w:p>
    <w:p w14:paraId="39348740" w14:textId="77777777" w:rsidR="00B12BCA" w:rsidRDefault="00B12BCA">
      <w:pPr>
        <w:rPr>
          <w:rFonts w:ascii="Quattrocento Sans" w:eastAsia="Quattrocento Sans" w:hAnsi="Quattrocento Sans" w:cs="Quattrocento Sans"/>
          <w:sz w:val="24"/>
          <w:szCs w:val="24"/>
        </w:rPr>
      </w:pPr>
    </w:p>
    <w:p w14:paraId="2F356F81" w14:textId="77777777" w:rsidR="00B12BCA" w:rsidRDefault="00B12BCA">
      <w:pPr>
        <w:rPr>
          <w:rFonts w:ascii="Quattrocento Sans" w:eastAsia="Quattrocento Sans" w:hAnsi="Quattrocento Sans" w:cs="Quattrocento Sans"/>
          <w:sz w:val="24"/>
          <w:szCs w:val="24"/>
        </w:rPr>
      </w:pPr>
    </w:p>
    <w:p w14:paraId="300365C1" w14:textId="77777777" w:rsidR="00B12BC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0D63784E" w14:textId="77777777" w:rsidR="00B12BCA"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the case study of the Croatian language school Sequoia Center, learners are introduced to a special English language learning program through art - "ESL Through Art" - with the aim of addressing participants' needs and bridging their language barriers using the universal language of visual arts. This provides an example that learners don’t have to go deep into the analyses of artworks and theories but to use visual art as a tool for learning a foreign language. The underlying meaning or message of an artwork is not as crucial as finding interesting ways to utilise artworks for </w:t>
      </w:r>
      <w:r>
        <w:rPr>
          <w:rFonts w:ascii="Quattrocento Sans" w:eastAsia="Quattrocento Sans" w:hAnsi="Quattrocento Sans" w:cs="Quattrocento Sans"/>
          <w:sz w:val="24"/>
          <w:szCs w:val="24"/>
        </w:rPr>
        <w:lastRenderedPageBreak/>
        <w:t xml:space="preserve">language and vocabulary instruction, especially in programs designed for beginners. Learners also have a chance to try out the “Multilingual Art Collage” which will encourage them to experiment with visually appealing and interesting parts of magazines or newspapers to improve their multilingual skills while playing with their artistic compositions on posters or canvas. This will demonstrate how practicing their languages skills and building their vocabulary can be fun and engaging in combination with working on their own artistic compositions. </w:t>
      </w:r>
    </w:p>
    <w:p w14:paraId="0CBE887D" w14:textId="77777777" w:rsidR="00B12BCA" w:rsidRDefault="00B12BCA">
      <w:pPr>
        <w:rPr>
          <w:rFonts w:ascii="Quattrocento Sans" w:eastAsia="Quattrocento Sans" w:hAnsi="Quattrocento Sans" w:cs="Quattrocento Sans"/>
          <w:sz w:val="24"/>
          <w:szCs w:val="24"/>
        </w:rPr>
      </w:pPr>
    </w:p>
    <w:p w14:paraId="0486D205" w14:textId="77777777" w:rsidR="00B12BC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4333BC8B" w14:textId="77777777" w:rsidR="00B12BCA"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sz w:val="24"/>
          <w:szCs w:val="24"/>
        </w:rPr>
        <w:t>Multilingual competence through art.</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32D4F936" w14:textId="77777777" w:rsidR="00B12BCA"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2F6968DB" w14:textId="77777777" w:rsidR="00B12BCA" w:rsidRDefault="00B12BCA"/>
    <w:p w14:paraId="79E86409" w14:textId="77777777" w:rsidR="00B12BCA"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 xml:space="preserve">What do you think is the key to the success of the Sequoia </w:t>
      </w:r>
      <w:proofErr w:type="gramStart"/>
      <w:r>
        <w:rPr>
          <w:rFonts w:ascii="Quattrocento Sans" w:eastAsia="Quattrocento Sans" w:hAnsi="Quattrocento Sans" w:cs="Quattrocento Sans"/>
          <w:sz w:val="24"/>
          <w:szCs w:val="24"/>
        </w:rPr>
        <w:t>Centre’s  special</w:t>
      </w:r>
      <w:proofErr w:type="gramEnd"/>
      <w:r>
        <w:rPr>
          <w:rFonts w:ascii="Quattrocento Sans" w:eastAsia="Quattrocento Sans" w:hAnsi="Quattrocento Sans" w:cs="Quattrocento Sans"/>
          <w:sz w:val="24"/>
          <w:szCs w:val="24"/>
        </w:rPr>
        <w:t xml:space="preserve"> English language learning program through art - "ESL Through Art"</w:t>
      </w:r>
    </w:p>
    <w:p w14:paraId="63529C3D" w14:textId="77777777" w:rsidR="00B12BCA"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What is one key takeaway that you will bring from this case study and activity? How will you apply it to your own life or work?</w:t>
      </w:r>
    </w:p>
    <w:p w14:paraId="7340AA72" w14:textId="77777777" w:rsidR="00B12BCA"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How did you find the ‘Multilingual Art Collage”? Did you find it helpful in improving your language skills?</w:t>
      </w:r>
    </w:p>
    <w:p w14:paraId="12D7D2E6" w14:textId="77777777" w:rsidR="00B12BCA"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How do you think the use of art can be incorporated into the traditional educational system or training programme to improve language skills?</w:t>
      </w:r>
    </w:p>
    <w:p w14:paraId="7CC28237" w14:textId="77777777" w:rsidR="00B12BCA" w:rsidRDefault="00B12BCA"/>
    <w:p w14:paraId="4D0A6ED1" w14:textId="77777777" w:rsidR="00B12BCA"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3294BFF3" wp14:editId="0F94A758">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B12BCA">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06B5" w14:textId="77777777" w:rsidR="00FB0C6D" w:rsidRDefault="00FB0C6D">
      <w:pPr>
        <w:spacing w:after="0" w:line="240" w:lineRule="auto"/>
      </w:pPr>
      <w:r>
        <w:separator/>
      </w:r>
    </w:p>
  </w:endnote>
  <w:endnote w:type="continuationSeparator" w:id="0">
    <w:p w14:paraId="6069FBB4" w14:textId="77777777" w:rsidR="00FB0C6D" w:rsidRDefault="00FB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A00C" w14:textId="77777777" w:rsidR="00B12BCA" w:rsidRDefault="00B12BCA">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A70B" w14:textId="77777777" w:rsidR="00FB0C6D" w:rsidRDefault="00FB0C6D">
      <w:pPr>
        <w:spacing w:after="0" w:line="240" w:lineRule="auto"/>
      </w:pPr>
      <w:r>
        <w:separator/>
      </w:r>
    </w:p>
  </w:footnote>
  <w:footnote w:type="continuationSeparator" w:id="0">
    <w:p w14:paraId="623163A9" w14:textId="77777777" w:rsidR="00FB0C6D" w:rsidRDefault="00FB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B4C6" w14:textId="77777777" w:rsidR="00B12BCA" w:rsidRDefault="00B12BC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1303C"/>
    <w:multiLevelType w:val="multilevel"/>
    <w:tmpl w:val="3CF25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186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CA"/>
    <w:rsid w:val="002B5827"/>
    <w:rsid w:val="006E3B33"/>
    <w:rsid w:val="0070309C"/>
    <w:rsid w:val="00B12BCA"/>
    <w:rsid w:val="00FB0C6D"/>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9182"/>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6B3d4xgRA63SDkDlDspGedFg==">CgMxLjA4AHIhMW93dnA3RmdYSFFQbkprQkVWR09HTVJ4TmNCM2plRTdO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3799</Characters>
  <Application>Microsoft Office Word</Application>
  <DocSecurity>0</DocSecurity>
  <Lines>31</Lines>
  <Paragraphs>8</Paragraphs>
  <ScaleCrop>false</ScaleCrop>
  <Company>HP Inc.</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cp:lastPrinted>2024-03-14T13:45:00Z</cp:lastPrinted>
  <dcterms:created xsi:type="dcterms:W3CDTF">2023-02-14T11:52:00Z</dcterms:created>
  <dcterms:modified xsi:type="dcterms:W3CDTF">2024-03-14T13:45:00Z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