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10;&#10;Description automatically generated" id="6"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35425" cy="1414145"/>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Micro-learning resources to re-engage low-skilled adult learners in education and training </w:t>
      </w:r>
    </w:p>
    <w:p w:rsidR="00000000" w:rsidDel="00000000" w:rsidP="00000000" w:rsidRDefault="00000000" w:rsidRPr="00000000" w14:paraId="00000003">
      <w:pPr>
        <w:pStyle w:val="Heading2"/>
        <w:tabs>
          <w:tab w:val="left" w:leader="none" w:pos="5341"/>
        </w:tabs>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Adult Educator Manual </w:t>
      </w:r>
    </w:p>
    <w:p w:rsidR="00000000" w:rsidDel="00000000" w:rsidP="00000000" w:rsidRDefault="00000000" w:rsidRPr="00000000" w14:paraId="0000000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Lesson Plan</w:t>
      </w:r>
    </w:p>
    <w:p w:rsidR="00000000" w:rsidDel="00000000" w:rsidP="00000000" w:rsidRDefault="00000000" w:rsidRPr="00000000" w14:paraId="00000005">
      <w:pP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rsidR="00000000" w:rsidDel="00000000" w:rsidP="00000000" w:rsidRDefault="00000000" w:rsidRPr="00000000" w14:paraId="00000006">
      <w:pP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topic of this manual relates to the video resources </w:t>
      </w:r>
      <w:r w:rsidDel="00000000" w:rsidR="00000000" w:rsidRPr="00000000">
        <w:rPr>
          <w:rFonts w:ascii="Quattrocento Sans" w:cs="Quattrocento Sans" w:eastAsia="Quattrocento Sans" w:hAnsi="Quattrocento Sans"/>
          <w:i w:val="1"/>
          <w:sz w:val="24"/>
          <w:szCs w:val="24"/>
          <w:rtl w:val="0"/>
        </w:rPr>
        <w:t xml:space="preserve">Digital Competence Through Sports &amp; Hobbies.</w:t>
      </w: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A">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Topic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Enhancing digital skills through sports and hobbies offers a unique and engaging approach to empower low-skilled adults in the digital era. By integrating technology with their passions, these individuals can gain valuable digital competencies while enjoying activities they love. Whether it's using fitness apps to track progress during sports, mastering digital photography during hobbies, or exploring online communities related to interests, this fusion provides hands-on learning experiences. The benefits are twofold: low-skilled adults acquire essential digital literacy, enabling them to navigate the digital landscape with confidence, and they experience improved well-being through increased participation in fulfilling pastimes. This integration not only fosters a sense of accomplishment but also nurtures continuous learning, unlocking new opportunities for personal growth and career prospects.</w:t>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Activity </w:t>
      </w:r>
    </w:p>
    <w:p w:rsidR="00000000" w:rsidDel="00000000" w:rsidP="00000000" w:rsidRDefault="00000000" w:rsidRPr="00000000" w14:paraId="0000000F">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0">
      <w:pPr>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the case study, learners will learn about the Erasmus+ project @homeWork that aims to empower inactive women and housewives by enhancing their skills in using smartphones, tablets, and computers. The project focuses on enabling them to develop competencies in fashion design as a hobby. Learners also have a chance to try out “Exploring Technology in Sports and Hobbies” activity which will empower them to combine their digital skills with their sports and hobbies, fostering creativity, innovation, and digital competence.</w:t>
      </w:r>
    </w:p>
    <w:p w:rsidR="00000000" w:rsidDel="00000000" w:rsidP="00000000" w:rsidRDefault="00000000" w:rsidRPr="00000000" w14:paraId="00000011">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3">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this Resource with a Group </w:t>
      </w:r>
    </w:p>
    <w:p w:rsidR="00000000" w:rsidDel="00000000" w:rsidP="00000000" w:rsidRDefault="00000000" w:rsidRPr="00000000" w14:paraId="00000014">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To use this resource with adult learners in your local group, we recommend that you begin by showing them the video resource to introduce the theme of </w:t>
      </w:r>
      <w:r w:rsidDel="00000000" w:rsidR="00000000" w:rsidRPr="00000000">
        <w:rPr>
          <w:rFonts w:ascii="Quattrocento Sans" w:cs="Quattrocento Sans" w:eastAsia="Quattrocento Sans" w:hAnsi="Quattrocento Sans"/>
          <w:i w:val="1"/>
          <w:sz w:val="24"/>
          <w:szCs w:val="24"/>
          <w:rtl w:val="0"/>
        </w:rPr>
        <w:t xml:space="preserve">Digital Competence Through Sports &amp; Hobbies</w:t>
      </w:r>
      <w:r w:rsidDel="00000000" w:rsidR="00000000" w:rsidRPr="00000000">
        <w:rPr>
          <w:rFonts w:ascii="Quattrocento Sans" w:cs="Quattrocento Sans" w:eastAsia="Quattrocento Sans" w:hAnsi="Quattrocento Sans"/>
          <w:i w:val="1"/>
          <w:color w:val="000000"/>
          <w:sz w:val="24"/>
          <w:szCs w:val="24"/>
          <w:rtl w:val="0"/>
        </w:rPr>
        <w:t xml:space="preserve">. </w:t>
      </w:r>
      <w:r w:rsidDel="00000000" w:rsidR="00000000" w:rsidRPr="00000000">
        <w:rPr>
          <w:rFonts w:ascii="Quattrocento Sans" w:cs="Quattrocento Sans" w:eastAsia="Quattrocento Sans" w:hAnsi="Quattrocento Sans"/>
          <w:color w:val="000000"/>
          <w:sz w:val="24"/>
          <w:szCs w:val="24"/>
          <w:rtl w:val="0"/>
        </w:rPr>
        <w:t xml:space="preserve">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rsidR="00000000" w:rsidDel="00000000" w:rsidP="00000000" w:rsidRDefault="00000000" w:rsidRPr="00000000" w14:paraId="00000015">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De-Briefing Questions</w:t>
      </w:r>
    </w:p>
    <w:p w:rsidR="00000000" w:rsidDel="00000000" w:rsidP="00000000" w:rsidRDefault="00000000" w:rsidRPr="00000000" w14:paraId="00000016">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What is one key takeaway from this case study and activity that you explored in the Learner Handout? How can you apply it to your own life or work?</w:t>
      </w:r>
    </w:p>
    <w:p w:rsidR="00000000" w:rsidDel="00000000" w:rsidP="00000000" w:rsidRDefault="00000000" w:rsidRPr="00000000" w14:paraId="00000018">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How did you find the ‘Exploring Technology in Sports and Hobbies’ activity? Did you find it helpful in improving your digital competence?</w:t>
      </w:r>
    </w:p>
    <w:p w:rsidR="00000000" w:rsidDel="00000000" w:rsidP="00000000" w:rsidRDefault="00000000" w:rsidRPr="00000000" w14:paraId="00000019">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How do you think digital components can be incorporated into sports and hobbies? Do you have any further ideas? </w:t>
      </w:r>
    </w:p>
    <w:p w:rsidR="00000000" w:rsidDel="00000000" w:rsidP="00000000" w:rsidRDefault="00000000" w:rsidRPr="00000000" w14:paraId="0000001A">
      <w:pPr>
        <w:numPr>
          <w:ilvl w:val="0"/>
          <w:numId w:val="1"/>
        </w:numPr>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Why do you think using sports and hobbies to build your digital competence is important? How can this help learners?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10;&#10;Description automatically generated" id="7"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RMOJK+QPPZkWKBNwZ5z0g2+g==">CgMxLjA4AHIhMXQ3cHktRzJCWXEzMS03bjRPVDk4c2s4cldjQTN6X2tP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