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-932813</wp:posOffset>
            </wp:positionH>
            <wp:positionV relativeFrom="margin">
              <wp:posOffset>-953769</wp:posOffset>
            </wp:positionV>
            <wp:extent cx="7625715" cy="10782300"/>
            <wp:effectExtent b="0" l="0" r="0" t="0"/>
            <wp:wrapSquare wrapText="bothSides" distB="0" distT="0" distL="114300" distR="114300"/>
            <wp:docPr descr="Shape&#10;&#10;Description automatically generated" id="6" name="image1.png"/>
            <a:graphic>
              <a:graphicData uri="http://schemas.openxmlformats.org/drawingml/2006/picture">
                <pic:pic>
                  <pic:nvPicPr>
                    <pic:cNvPr descr="Shape&#10;&#10;Description automatically generated" id="0" name="image1.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1930400</wp:posOffset>
                </wp:positionH>
                <wp:positionV relativeFrom="paragraph">
                  <wp:posOffset>1607820</wp:posOffset>
                </wp:positionV>
                <wp:extent cx="4035425" cy="1414145"/>
                <wp:effectExtent b="0" l="0" r="0" t="0"/>
                <wp:wrapSquare wrapText="bothSides" distB="45720" distT="45720" distL="114300" distR="114300"/>
                <wp:docPr id="5" name=""/>
                <a:graphic>
                  <a:graphicData uri="http://schemas.microsoft.com/office/word/2010/wordprocessingShape">
                    <wps:wsp>
                      <wps:cNvSpPr/>
                      <wps:cNvPr id="2" name="Shape 2"/>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&lt;Competence area and transversal theme&gt;</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1930400</wp:posOffset>
                </wp:positionH>
                <wp:positionV relativeFrom="paragraph">
                  <wp:posOffset>1607820</wp:posOffset>
                </wp:positionV>
                <wp:extent cx="4035425" cy="1414145"/>
                <wp:effectExtent b="0" l="0" r="0" t="0"/>
                <wp:wrapSquare wrapText="bothSides" distB="45720" distT="45720" distL="114300" distR="114300"/>
                <wp:docPr id="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035425" cy="1414145"/>
                        </a:xfrm>
                        <a:prstGeom prst="rect"/>
                        <a:ln/>
                      </pic:spPr>
                    </pic:pic>
                  </a:graphicData>
                </a:graphic>
              </wp:anchor>
            </w:drawing>
          </mc:Fallback>
        </mc:AlternateContent>
      </w:r>
    </w:p>
    <w:p w:rsidR="00000000" w:rsidDel="00000000" w:rsidP="00000000" w:rsidRDefault="00000000" w:rsidRPr="00000000" w14:paraId="00000002">
      <w:pPr>
        <w:pStyle w:val="Heading2"/>
        <w:tabs>
          <w:tab w:val="left" w:leader="none" w:pos="5341"/>
        </w:tabs>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Micro-learning resources to re-engage low-skilled adult learners in education and training </w:t>
      </w:r>
    </w:p>
    <w:p w:rsidR="00000000" w:rsidDel="00000000" w:rsidP="00000000" w:rsidRDefault="00000000" w:rsidRPr="00000000" w14:paraId="00000003">
      <w:pPr>
        <w:pStyle w:val="Heading2"/>
        <w:tabs>
          <w:tab w:val="left" w:leader="none" w:pos="5341"/>
        </w:tabs>
        <w:rPr>
          <w:rFonts w:ascii="Quattrocento Sans" w:cs="Quattrocento Sans" w:eastAsia="Quattrocento Sans" w:hAnsi="Quattrocento Sans"/>
          <w:b w:val="1"/>
          <w:color w:val="1f2126"/>
          <w:sz w:val="36"/>
          <w:szCs w:val="36"/>
        </w:rPr>
      </w:pPr>
      <w:r w:rsidDel="00000000" w:rsidR="00000000" w:rsidRPr="00000000">
        <w:rPr>
          <w:rFonts w:ascii="Quattrocento Sans" w:cs="Quattrocento Sans" w:eastAsia="Quattrocento Sans" w:hAnsi="Quattrocento Sans"/>
          <w:b w:val="1"/>
          <w:color w:val="1f2126"/>
          <w:sz w:val="36"/>
          <w:szCs w:val="36"/>
          <w:rtl w:val="0"/>
        </w:rPr>
        <w:t xml:space="preserve">Adult Educator Manual </w:t>
      </w:r>
    </w:p>
    <w:p w:rsidR="00000000" w:rsidDel="00000000" w:rsidP="00000000" w:rsidRDefault="00000000" w:rsidRPr="00000000" w14:paraId="00000004">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Lesson Plan</w:t>
      </w:r>
    </w:p>
    <w:p w:rsidR="00000000" w:rsidDel="00000000" w:rsidP="00000000" w:rsidRDefault="00000000" w:rsidRPr="00000000" w14:paraId="00000005">
      <w:pPr>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rsidR="00000000" w:rsidDel="00000000" w:rsidP="00000000" w:rsidRDefault="00000000" w:rsidRPr="00000000" w14:paraId="00000006">
      <w:pPr>
        <w:rPr>
          <w:rFonts w:ascii="Quattrocento Sans" w:cs="Quattrocento Sans" w:eastAsia="Quattrocento Sans" w:hAnsi="Quattrocento Sans"/>
          <w:color w:val="000000"/>
          <w:sz w:val="24"/>
          <w:szCs w:val="24"/>
        </w:rPr>
      </w:pPr>
      <w:r w:rsidDel="00000000" w:rsidR="00000000" w:rsidRPr="00000000">
        <w:rPr>
          <w:rtl w:val="0"/>
        </w:rPr>
      </w:r>
    </w:p>
    <w:p w:rsidR="00000000" w:rsidDel="00000000" w:rsidP="00000000" w:rsidRDefault="00000000" w:rsidRPr="00000000" w14:paraId="00000007">
      <w:pPr>
        <w:rPr>
          <w:rFonts w:ascii="Quattrocento Sans" w:cs="Quattrocento Sans" w:eastAsia="Quattrocento Sans" w:hAnsi="Quattrocento Sans"/>
          <w:i w:val="1"/>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The topic of this manual relates to the video resources </w:t>
      </w:r>
      <w:r w:rsidDel="00000000" w:rsidR="00000000" w:rsidRPr="00000000">
        <w:rPr>
          <w:rFonts w:ascii="Quattrocento Sans" w:cs="Quattrocento Sans" w:eastAsia="Quattrocento Sans" w:hAnsi="Quattrocento Sans"/>
          <w:i w:val="1"/>
          <w:sz w:val="24"/>
          <w:szCs w:val="24"/>
          <w:rtl w:val="0"/>
        </w:rPr>
        <w:t xml:space="preserve">Building Citizenship Competence Through Sports and Hobbies.</w:t>
      </w:r>
      <w:r w:rsidDel="00000000" w:rsidR="00000000" w:rsidRPr="00000000">
        <w:rPr>
          <w:rtl w:val="0"/>
        </w:rPr>
      </w:r>
    </w:p>
    <w:p w:rsidR="00000000" w:rsidDel="00000000" w:rsidP="00000000" w:rsidRDefault="00000000" w:rsidRPr="00000000" w14:paraId="00000008">
      <w:pPr>
        <w:rPr>
          <w:rFonts w:ascii="Quattrocento Sans" w:cs="Quattrocento Sans" w:eastAsia="Quattrocento Sans" w:hAnsi="Quattrocento Sans"/>
          <w:i w:val="1"/>
          <w:color w:val="000000"/>
          <w:sz w:val="24"/>
          <w:szCs w:val="24"/>
        </w:rPr>
      </w:pPr>
      <w:r w:rsidDel="00000000" w:rsidR="00000000" w:rsidRPr="00000000">
        <w:rPr>
          <w:rtl w:val="0"/>
        </w:rPr>
      </w:r>
    </w:p>
    <w:p w:rsidR="00000000" w:rsidDel="00000000" w:rsidP="00000000" w:rsidRDefault="00000000" w:rsidRPr="00000000" w14:paraId="00000009">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Introduction to the Topic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Engaging in sports and hobbies offers a fantastic medium to enhance citizenship competences, especially for learners who may lack confidence in this area. Through our resources, learners can explore how sports and hobbies positively impact their civic skills and boost their self-assurance. Whether they enjoy sports, arts, or other leisure activities, they will be guided to discover how these pursuits contribute to teamwork, fair play, and community engagement. These resources aim to empower individuals to embrace citizenship values while pursuing their passions, creating a harmonious and responsible society through the lens of sports and hobbies.</w:t>
      </w:r>
    </w:p>
    <w:p w:rsidR="00000000" w:rsidDel="00000000" w:rsidP="00000000" w:rsidRDefault="00000000" w:rsidRPr="00000000" w14:paraId="0000000C">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D">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E">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Introduction to the Activity </w:t>
      </w:r>
    </w:p>
    <w:p w:rsidR="00000000" w:rsidDel="00000000" w:rsidP="00000000" w:rsidRDefault="00000000" w:rsidRPr="00000000" w14:paraId="0000000F">
      <w:pPr>
        <w:rPr>
          <w:rFonts w:ascii="Quattrocento Sans" w:cs="Quattrocento Sans" w:eastAsia="Quattrocento Sans" w:hAnsi="Quattrocento Sans"/>
          <w:sz w:val="24"/>
          <w:szCs w:val="24"/>
          <w:highlight w:val="yellow"/>
        </w:rPr>
      </w:pPr>
      <w:r w:rsidDel="00000000" w:rsidR="00000000" w:rsidRPr="00000000">
        <w:rPr>
          <w:rtl w:val="0"/>
        </w:rPr>
      </w:r>
    </w:p>
    <w:p w:rsidR="00000000" w:rsidDel="00000000" w:rsidP="00000000" w:rsidRDefault="00000000" w:rsidRPr="00000000" w14:paraId="00000010">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Using the case study of the association "Sport and Citizenship", learners are introduced to the only European Think tank on sport that aims to analyse sports policy and to study the societal impact of sport. Learners also have the chance to try out the ‘Civic Values Through Sport &amp; Hobbies’ activity which aims to engage learners in self-reflection, analysing how their sport activities and hobbies connect to citizenship principles and contribute to community engagement. This activity will encourage learners to enhance their citizenship skills while engaging in a sport or hobby that interests them the most or that they practice regularly.</w:t>
      </w:r>
    </w:p>
    <w:p w:rsidR="00000000" w:rsidDel="00000000" w:rsidP="00000000" w:rsidRDefault="00000000" w:rsidRPr="00000000" w14:paraId="00000011">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2">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Using this Resource with a Group </w:t>
      </w:r>
    </w:p>
    <w:p w:rsidR="00000000" w:rsidDel="00000000" w:rsidP="00000000" w:rsidRDefault="00000000" w:rsidRPr="00000000" w14:paraId="00000013">
      <w:pPr>
        <w:shd w:fill="ffffff" w:val="clear"/>
        <w:spacing w:after="225" w:line="360" w:lineRule="auto"/>
        <w:jc w:val="both"/>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color w:val="000000"/>
          <w:sz w:val="24"/>
          <w:szCs w:val="24"/>
          <w:rtl w:val="0"/>
        </w:rPr>
        <w:t xml:space="preserve">To use this resource with adult learners in your local group, we recommend that you begin by showing them the video resource to introduce the theme of </w:t>
      </w:r>
      <w:r w:rsidDel="00000000" w:rsidR="00000000" w:rsidRPr="00000000">
        <w:rPr>
          <w:rFonts w:ascii="Quattrocento Sans" w:cs="Quattrocento Sans" w:eastAsia="Quattrocento Sans" w:hAnsi="Quattrocento Sans"/>
          <w:i w:val="1"/>
          <w:sz w:val="24"/>
          <w:szCs w:val="24"/>
          <w:rtl w:val="0"/>
        </w:rPr>
        <w:t xml:space="preserve">Building Citizenship Competences Through Sports and Hobbies.</w:t>
      </w:r>
      <w:r w:rsidDel="00000000" w:rsidR="00000000" w:rsidRPr="00000000">
        <w:rPr>
          <w:rFonts w:ascii="Quattrocento Sans" w:cs="Quattrocento Sans" w:eastAsia="Quattrocento Sans" w:hAnsi="Quattrocento Sans"/>
          <w:i w:val="1"/>
          <w:color w:val="000000"/>
          <w:sz w:val="24"/>
          <w:szCs w:val="24"/>
          <w:rtl w:val="0"/>
        </w:rPr>
        <w:t xml:space="preserve"> </w:t>
      </w:r>
      <w:r w:rsidDel="00000000" w:rsidR="00000000" w:rsidRPr="00000000">
        <w:rPr>
          <w:rFonts w:ascii="Quattrocento Sans" w:cs="Quattrocento Sans" w:eastAsia="Quattrocento Sans" w:hAnsi="Quattrocento Sans"/>
          <w:color w:val="000000"/>
          <w:sz w:val="24"/>
          <w:szCs w:val="24"/>
          <w:rtl w:val="0"/>
        </w:rPr>
        <w:t xml:space="preserve">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rsidR="00000000" w:rsidDel="00000000" w:rsidP="00000000" w:rsidRDefault="00000000" w:rsidRPr="00000000" w14:paraId="00000014">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De-Briefing Questions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Quattrocento Sans" w:cs="Quattrocento Sans" w:eastAsia="Quattrocento Sans" w:hAnsi="Quattrocento Sans"/>
          <w:sz w:val="24"/>
          <w:szCs w:val="24"/>
          <w:highlight w:val="yellow"/>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What did you learn about the association between "Sport and Citizenship?</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What is one key takeaway that you will bring from this case study and activity? How will you apply it to your own life or work?</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How did you find the ‘Civic Values Through Sport &amp; Hobbies? Did you find it helpful in improving your citizenship skills?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How do you think the use of sports and hobbies can be incorporated into the traditional educational system or training programme to improve citizenship skills?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-914399</wp:posOffset>
            </wp:positionH>
            <wp:positionV relativeFrom="margin">
              <wp:posOffset>-931544</wp:posOffset>
            </wp:positionV>
            <wp:extent cx="7625715" cy="10765155"/>
            <wp:effectExtent b="0" l="0" r="0" t="0"/>
            <wp:wrapSquare wrapText="bothSides" distB="0" distT="0" distL="114300" distR="114300"/>
            <wp:docPr descr="Timeline&#10;&#10;Description automatically generated" id="7" name="image2.png"/>
            <a:graphic>
              <a:graphicData uri="http://schemas.openxmlformats.org/drawingml/2006/picture">
                <pic:pic>
                  <pic:nvPicPr>
                    <pic:cNvPr descr="Timeline&#10;&#10;Description automatically generated" id="0" name="image2.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p>
    <w:sectPr>
      <w:headerReference r:id="rId10" w:type="first"/>
      <w:footerReference r:id="rId11"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bas Neue">
    <w:embedRegular w:fontKey="{00000000-0000-0000-0000-000000000000}" r:id="rId1" w:subsetted="0"/>
  </w:font>
  <w:font w:name="Quattrocento Sans">
    <w:embedBold w:fontKey="{00000000-0000-0000-0000-000000000000}" r:id="rId2" w:subsetted="0"/>
    <w:embedBoldItalic w:fontKey="{00000000-0000-0000-0000-000000000000}" r:id="rId3" w:subsetted="0"/>
  </w:font>
  <w:font w:name="Noto Sans Symbols">
    <w:embedRegular w:fontKey="{00000000-0000-0000-0000-000000000000}" r:id="rId4" w:subsetted="0"/>
    <w:embedBold w:fontKey="{00000000-0000-0000-0000-000000000000}" r:id="rId5"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Heading2">
    <w:name w:val="heading 2"/>
    <w:basedOn w:val="Normal"/>
    <w:next w:val="Normal"/>
    <w:link w:val="Heading2Ch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B6A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6AE4"/>
  </w:style>
  <w:style w:type="paragraph" w:styleId="Footer">
    <w:name w:val="footer"/>
    <w:basedOn w:val="Normal"/>
    <w:link w:val="FooterChar"/>
    <w:uiPriority w:val="99"/>
    <w:unhideWhenUsed w:val="1"/>
    <w:rsid w:val="002B6A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6AE4"/>
  </w:style>
  <w:style w:type="character" w:styleId="Heading1Char" w:customStyle="1">
    <w:name w:val="Heading 1 Char"/>
    <w:basedOn w:val="DefaultParagraphFont"/>
    <w:link w:val="Heading1"/>
    <w:uiPriority w:val="9"/>
    <w:rsid w:val="002B6AE4"/>
    <w:rPr>
      <w:rFonts w:asciiTheme="majorHAnsi" w:cstheme="majorBidi" w:eastAsiaTheme="majorEastAsia" w:hAnsiTheme="majorHAnsi"/>
      <w:color w:val="225c99"/>
      <w:sz w:val="32"/>
      <w:szCs w:val="32"/>
    </w:rPr>
  </w:style>
  <w:style w:type="character" w:styleId="Heading2Char" w:customStyle="1">
    <w:name w:val="Heading 2 Char"/>
    <w:basedOn w:val="DefaultParagraphFont"/>
    <w:link w:val="Heading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026A45"/>
    <w:pPr>
      <w:spacing w:after="0" w:line="240" w:lineRule="auto"/>
    </w:pPr>
  </w:style>
  <w:style w:type="paragraph" w:styleId="ListParagraph">
    <w:name w:val="List Paragraph"/>
    <w:basedOn w:val="Normal"/>
    <w:uiPriority w:val="34"/>
    <w:qFormat w:val="1"/>
    <w:rsid w:val="00C642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bold.ttf"/><Relationship Id="rId3" Type="http://schemas.openxmlformats.org/officeDocument/2006/relationships/font" Target="fonts/QuattrocentoSans-bold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OVsrRLqpVySD8d4WRDr2FMmVg==">CgMxLjA4AHIhMUFBNW9wQUNuTXE2OTVTYTM0ZlE2aGNwa1RvM1ZPczd1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2023-02-14T11:52:00Z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