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8DA" w14:textId="77777777" w:rsidR="0089004F" w:rsidRDefault="00000000">
      <w:pPr>
        <w:tabs>
          <w:tab w:val="left" w:pos="900"/>
        </w:tabs>
      </w:pPr>
      <w:r>
        <w:rPr>
          <w:noProof/>
        </w:rPr>
        <w:drawing>
          <wp:anchor distT="0" distB="0" distL="114300" distR="114300" simplePos="0" relativeHeight="251658240" behindDoc="0" locked="0" layoutInCell="1" hidden="0" allowOverlap="1" wp14:anchorId="3974A4E6" wp14:editId="4AE6DC7A">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15A514C2" wp14:editId="791A012F">
                <wp:simplePos x="0" y="0"/>
                <wp:positionH relativeFrom="column">
                  <wp:posOffset>1930400</wp:posOffset>
                </wp:positionH>
                <wp:positionV relativeFrom="paragraph">
                  <wp:posOffset>1607820</wp:posOffset>
                </wp:positionV>
                <wp:extent cx="4035425" cy="141414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333050" y="3077690"/>
                          <a:ext cx="4025900" cy="1404620"/>
                        </a:xfrm>
                        <a:prstGeom prst="rect">
                          <a:avLst/>
                        </a:prstGeom>
                        <a:noFill/>
                        <a:ln>
                          <a:noFill/>
                        </a:ln>
                      </wps:spPr>
                      <wps:txbx>
                        <w:txbxContent>
                          <w:p w14:paraId="5F465365" w14:textId="77777777" w:rsidR="0089004F" w:rsidRDefault="00000000">
                            <w:pPr>
                              <w:spacing w:line="258" w:lineRule="auto"/>
                              <w:jc w:val="right"/>
                              <w:textDirection w:val="btLr"/>
                            </w:pPr>
                            <w:r>
                              <w:rPr>
                                <w:rFonts w:ascii="Bebas Neue" w:eastAsia="Bebas Neue" w:hAnsi="Bebas Neue" w:cs="Bebas Neue"/>
                                <w:color w:val="F5B335"/>
                                <w:sz w:val="72"/>
                              </w:rPr>
                              <w:t>Citizenship Competence and Digital and Social</w:t>
                            </w:r>
                          </w:p>
                          <w:p w14:paraId="27FA4181" w14:textId="77777777" w:rsidR="0089004F"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35425" cy="1414145"/>
                        </a:xfrm>
                        <a:prstGeom prst="rect"/>
                        <a:ln/>
                      </pic:spPr>
                    </pic:pic>
                  </a:graphicData>
                </a:graphic>
              </wp:anchor>
            </w:drawing>
          </mc:Fallback>
        </mc:AlternateContent>
      </w:r>
    </w:p>
    <w:p w14:paraId="5A3C9414" w14:textId="77777777" w:rsidR="0089004F"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610997C8" w14:textId="77777777" w:rsidR="0089004F"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4810CFAA" w14:textId="77777777" w:rsidR="0089004F" w:rsidRDefault="0089004F">
      <w:pPr>
        <w:jc w:val="both"/>
        <w:rPr>
          <w:rFonts w:ascii="Quattrocento Sans" w:eastAsia="Quattrocento Sans" w:hAnsi="Quattrocento Sans" w:cs="Quattrocento Sans"/>
          <w:sz w:val="24"/>
          <w:szCs w:val="24"/>
        </w:rPr>
      </w:pPr>
    </w:p>
    <w:p w14:paraId="47FB77D6" w14:textId="77777777" w:rsidR="0089004F"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153126BC" w14:textId="77777777" w:rsidR="0089004F" w:rsidRDefault="0089004F">
      <w:pPr>
        <w:spacing w:line="360" w:lineRule="auto"/>
        <w:rPr>
          <w:rFonts w:ascii="Quattrocento Sans" w:eastAsia="Quattrocento Sans" w:hAnsi="Quattrocento Sans" w:cs="Quattrocento Sans"/>
          <w:color w:val="000000"/>
          <w:sz w:val="24"/>
          <w:szCs w:val="24"/>
        </w:rPr>
      </w:pPr>
    </w:p>
    <w:p w14:paraId="19A7B38B" w14:textId="77777777" w:rsidR="0089004F" w:rsidRDefault="00000000">
      <w:pPr>
        <w:spacing w:line="360" w:lineRule="auto"/>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Citizenship Competence and Digital and Social. </w:t>
      </w:r>
    </w:p>
    <w:p w14:paraId="519FACA5" w14:textId="77777777" w:rsidR="0089004F" w:rsidRDefault="0089004F">
      <w:pPr>
        <w:rPr>
          <w:rFonts w:ascii="Quattrocento Sans" w:eastAsia="Quattrocento Sans" w:hAnsi="Quattrocento Sans" w:cs="Quattrocento Sans"/>
          <w:i/>
          <w:color w:val="000000"/>
          <w:sz w:val="24"/>
          <w:szCs w:val="24"/>
        </w:rPr>
      </w:pPr>
    </w:p>
    <w:p w14:paraId="75AF04EA" w14:textId="77777777" w:rsidR="0089004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565C7014" w14:textId="77777777" w:rsidR="0089004F" w:rsidRDefault="0089004F">
      <w:pPr>
        <w:rPr>
          <w:rFonts w:ascii="Quattrocento Sans" w:eastAsia="Quattrocento Sans" w:hAnsi="Quattrocento Sans" w:cs="Quattrocento Sans"/>
          <w:sz w:val="24"/>
          <w:szCs w:val="24"/>
        </w:rPr>
      </w:pPr>
    </w:p>
    <w:p w14:paraId="33449ED6" w14:textId="77777777" w:rsidR="0089004F"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Internet, social media and digital tools can help low-skilled adults develop their citizenship competencies. Indeed, over the past decade, many social activists have used digital technology to </w:t>
      </w:r>
      <w:proofErr w:type="spellStart"/>
      <w:r>
        <w:rPr>
          <w:rFonts w:ascii="Quattrocento Sans" w:eastAsia="Quattrocento Sans" w:hAnsi="Quattrocento Sans" w:cs="Quattrocento Sans"/>
          <w:sz w:val="24"/>
          <w:szCs w:val="24"/>
        </w:rPr>
        <w:t>convect</w:t>
      </w:r>
      <w:proofErr w:type="spellEnd"/>
      <w:r>
        <w:rPr>
          <w:rFonts w:ascii="Quattrocento Sans" w:eastAsia="Quattrocento Sans" w:hAnsi="Quattrocento Sans" w:cs="Quattrocento Sans"/>
          <w:sz w:val="24"/>
          <w:szCs w:val="24"/>
        </w:rPr>
        <w:t xml:space="preserve"> their ideas.  The Arab Spring, Black Lives Matter and others organisations have enjoyed great success by incorporating digital tools into their operation. Social networks and the Internet can develop citizenship competences and will help you become an active citizen in your community and society. Throughout the ONE-STEP UP resources, low-skilled adults can explore how these learning materials can positively impact their ability to become an active citizen and become engaged in their community. </w:t>
      </w:r>
    </w:p>
    <w:p w14:paraId="6A8E3CF9" w14:textId="77777777" w:rsidR="0089004F" w:rsidRDefault="0089004F">
      <w:pPr>
        <w:rPr>
          <w:rFonts w:ascii="Quattrocento Sans" w:eastAsia="Quattrocento Sans" w:hAnsi="Quattrocento Sans" w:cs="Quattrocento Sans"/>
          <w:sz w:val="24"/>
          <w:szCs w:val="24"/>
        </w:rPr>
      </w:pPr>
    </w:p>
    <w:p w14:paraId="6DC6165D" w14:textId="77777777" w:rsidR="0089004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6354DBEE" w14:textId="77777777" w:rsidR="0089004F" w:rsidRDefault="0089004F"/>
    <w:p w14:paraId="37B6419C" w14:textId="03C4EC17" w:rsidR="0089004F" w:rsidRDefault="00000000" w:rsidP="00C261E2">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 the Learner Handout, low-skilled adults have the opportunity to delve into the initiative done by the Council of the EU with the game </w:t>
      </w:r>
      <w:proofErr w:type="spellStart"/>
      <w:r>
        <w:rPr>
          <w:rFonts w:ascii="Quattrocento Sans" w:eastAsia="Quattrocento Sans" w:hAnsi="Quattrocento Sans" w:cs="Quattrocento Sans"/>
          <w:sz w:val="24"/>
          <w:szCs w:val="24"/>
        </w:rPr>
        <w:t>EUcraft</w:t>
      </w:r>
      <w:proofErr w:type="spellEnd"/>
      <w:r>
        <w:rPr>
          <w:rFonts w:ascii="Quattrocento Sans" w:eastAsia="Quattrocento Sans" w:hAnsi="Quattrocento Sans" w:cs="Quattrocento Sans"/>
          <w:sz w:val="24"/>
          <w:szCs w:val="24"/>
        </w:rPr>
        <w:t xml:space="preserve">. This game is a digital simulation online. The aim is to negotiate and reach an agreement within the Council. This initiative permits to develop citizenship competence and being an active citizen through a digital game and digital tools. </w:t>
      </w:r>
    </w:p>
    <w:p w14:paraId="65FFDC74" w14:textId="77777777" w:rsidR="0089004F" w:rsidRDefault="00000000">
      <w:pPr>
        <w:spacing w:line="360" w:lineRule="auto"/>
        <w:jc w:val="both"/>
        <w:rPr>
          <w:rFonts w:ascii="Quattrocento Sans" w:eastAsia="Quattrocento Sans" w:hAnsi="Quattrocento Sans" w:cs="Quattrocento Sans"/>
          <w:sz w:val="24"/>
          <w:szCs w:val="24"/>
        </w:rPr>
      </w:pPr>
      <w:bookmarkStart w:id="0" w:name="_heading=h.gjdgxs" w:colFirst="0" w:colLast="0"/>
      <w:bookmarkEnd w:id="0"/>
      <w:r>
        <w:rPr>
          <w:rFonts w:ascii="Quattrocento Sans" w:eastAsia="Quattrocento Sans" w:hAnsi="Quattrocento Sans" w:cs="Quattrocento Sans"/>
          <w:sz w:val="24"/>
          <w:szCs w:val="24"/>
        </w:rPr>
        <w:t xml:space="preserve">Moreover, learners have the possibility to engage in the interesting “Supporting a Petition addressed at the European Parliament''. This activity will make you discover the possibility of being invested in the European community by supporting initiative and petition close to your heart and your belief. </w:t>
      </w:r>
    </w:p>
    <w:p w14:paraId="23B945BA" w14:textId="77777777" w:rsidR="0089004F" w:rsidRDefault="0089004F">
      <w:pPr>
        <w:rPr>
          <w:rFonts w:ascii="Quattrocento Sans" w:eastAsia="Quattrocento Sans" w:hAnsi="Quattrocento Sans" w:cs="Quattrocento Sans"/>
          <w:sz w:val="24"/>
          <w:szCs w:val="24"/>
        </w:rPr>
      </w:pPr>
    </w:p>
    <w:p w14:paraId="15B4C684" w14:textId="77777777" w:rsidR="0089004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5330768A" w14:textId="77777777" w:rsidR="0089004F" w:rsidRDefault="0089004F"/>
    <w:p w14:paraId="05407C01" w14:textId="77777777" w:rsidR="0089004F"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To use this resource with adult learners in your local group, we recommend that you begin by showing them the video resource to introduce the theme of Citizenship Competence and Digital and Social.</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15E1ED1C" w14:textId="77777777" w:rsidR="0089004F"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17520E3C" w14:textId="77777777" w:rsidR="0089004F" w:rsidRDefault="0089004F"/>
    <w:p w14:paraId="41F8DD14" w14:textId="77777777" w:rsidR="0089004F"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Here are some potential debriefing questions for participants to reflect on after completing the case study and activity:</w:t>
      </w:r>
    </w:p>
    <w:p w14:paraId="03461479" w14:textId="77777777" w:rsidR="0089004F"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surprises you the most about the </w:t>
      </w:r>
      <w:proofErr w:type="spellStart"/>
      <w:r>
        <w:rPr>
          <w:rFonts w:ascii="Quattrocento Sans" w:eastAsia="Quattrocento Sans" w:hAnsi="Quattrocento Sans" w:cs="Quattrocento Sans"/>
          <w:color w:val="000000"/>
          <w:sz w:val="24"/>
          <w:szCs w:val="24"/>
        </w:rPr>
        <w:t>EUcraft</w:t>
      </w:r>
      <w:proofErr w:type="spellEnd"/>
      <w:r>
        <w:rPr>
          <w:rFonts w:ascii="Quattrocento Sans" w:eastAsia="Quattrocento Sans" w:hAnsi="Quattrocento Sans" w:cs="Quattrocento Sans"/>
          <w:color w:val="000000"/>
          <w:sz w:val="24"/>
          <w:szCs w:val="24"/>
        </w:rPr>
        <w:t xml:space="preserve"> game? </w:t>
      </w:r>
    </w:p>
    <w:p w14:paraId="328C0F05" w14:textId="77777777" w:rsidR="0089004F"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Did you play this game? How did you find it? </w:t>
      </w:r>
    </w:p>
    <w:p w14:paraId="4228FAFA" w14:textId="77777777" w:rsidR="0089004F"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In what ways did this game go </w:t>
      </w:r>
      <w:r>
        <w:rPr>
          <w:rFonts w:ascii="Quattrocento Sans" w:eastAsia="Quattrocento Sans" w:hAnsi="Quattrocento Sans" w:cs="Quattrocento Sans"/>
          <w:sz w:val="24"/>
          <w:szCs w:val="24"/>
        </w:rPr>
        <w:t>beyond</w:t>
      </w:r>
      <w:r>
        <w:rPr>
          <w:rFonts w:ascii="Quattrocento Sans" w:eastAsia="Quattrocento Sans" w:hAnsi="Quattrocento Sans" w:cs="Quattrocento Sans"/>
          <w:color w:val="000000"/>
          <w:sz w:val="24"/>
          <w:szCs w:val="24"/>
        </w:rPr>
        <w:t xml:space="preserve"> just teaching citizenship competence? </w:t>
      </w:r>
    </w:p>
    <w:p w14:paraId="3931103A" w14:textId="77777777" w:rsidR="0089004F"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w:t>
      </w:r>
      <w:r>
        <w:rPr>
          <w:rFonts w:ascii="Quattrocento Sans" w:eastAsia="Quattrocento Sans" w:hAnsi="Quattrocento Sans" w:cs="Quattrocento Sans"/>
          <w:sz w:val="24"/>
          <w:szCs w:val="24"/>
        </w:rPr>
        <w:t>was</w:t>
      </w:r>
      <w:r>
        <w:rPr>
          <w:rFonts w:ascii="Quattrocento Sans" w:eastAsia="Quattrocento Sans" w:hAnsi="Quattrocento Sans" w:cs="Quattrocento Sans"/>
          <w:color w:val="000000"/>
          <w:sz w:val="24"/>
          <w:szCs w:val="24"/>
        </w:rPr>
        <w:t xml:space="preserve"> your experience like during the “Petition” activity? Did you know about this right? </w:t>
      </w:r>
    </w:p>
    <w:p w14:paraId="2A485EE2" w14:textId="77777777" w:rsidR="0089004F" w:rsidRDefault="00000000">
      <w:pPr>
        <w:numPr>
          <w:ilvl w:val="0"/>
          <w:numId w:val="1"/>
        </w:numPr>
        <w:pBdr>
          <w:top w:val="nil"/>
          <w:left w:val="nil"/>
          <w:bottom w:val="nil"/>
          <w:right w:val="nil"/>
          <w:between w:val="nil"/>
        </w:pBdr>
        <w:spacing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How can Digital and Social disciplines be incorporated into education or training programs for low-skilled adults to improve their citizenship competence? </w:t>
      </w:r>
    </w:p>
    <w:p w14:paraId="356CC777" w14:textId="77777777" w:rsidR="0089004F" w:rsidRDefault="0089004F"/>
    <w:p w14:paraId="292CDF06" w14:textId="77777777" w:rsidR="0089004F"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75AC5671" wp14:editId="6F7D1C5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89004F">
      <w:headerReference w:type="first" r:id="rId11"/>
      <w:footerReference w:type="first" r:id="rId12"/>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D1F8" w14:textId="77777777" w:rsidR="000C68ED" w:rsidRDefault="000C68ED">
      <w:pPr>
        <w:spacing w:after="0" w:line="240" w:lineRule="auto"/>
      </w:pPr>
      <w:r>
        <w:separator/>
      </w:r>
    </w:p>
  </w:endnote>
  <w:endnote w:type="continuationSeparator" w:id="0">
    <w:p w14:paraId="794B4698" w14:textId="77777777" w:rsidR="000C68ED" w:rsidRDefault="000C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0192" w14:textId="77777777" w:rsidR="0089004F" w:rsidRDefault="0089004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B32C" w14:textId="77777777" w:rsidR="000C68ED" w:rsidRDefault="000C68ED">
      <w:pPr>
        <w:spacing w:after="0" w:line="240" w:lineRule="auto"/>
      </w:pPr>
      <w:r>
        <w:separator/>
      </w:r>
    </w:p>
  </w:footnote>
  <w:footnote w:type="continuationSeparator" w:id="0">
    <w:p w14:paraId="4560456C" w14:textId="77777777" w:rsidR="000C68ED" w:rsidRDefault="000C6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5B1E" w14:textId="77777777" w:rsidR="0089004F" w:rsidRDefault="0089004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33E49"/>
    <w:multiLevelType w:val="multilevel"/>
    <w:tmpl w:val="5838B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645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4F"/>
    <w:rsid w:val="000C68ED"/>
    <w:rsid w:val="0089004F"/>
    <w:rsid w:val="00C261E2"/>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8C54"/>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Slv0gVdwdROzkWgGWXZ0dovnVw==">CgMxLjAyCGguZ2pkZ3hzOAByITFxdXJlYjZsYlhhUDI1bGpNSU16ZlUxUmFIQnV6ci1xQw==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581</Words>
  <Characters>3312</Characters>
  <Application>Microsoft Office Word</Application>
  <DocSecurity>0</DocSecurity>
  <Lines>27</Lines>
  <Paragraphs>7</Paragraphs>
  <ScaleCrop>false</ScaleCrop>
  <Company>HP Inc.</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2024-03-14T13:13:00Z</cp:lastPrinted>
  <dcterms:created xsi:type="dcterms:W3CDTF">2023-02-14T11:52:00Z</dcterms:created>
  <dcterms:modified xsi:type="dcterms:W3CDTF">2024-03-14T13:13:00Z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